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Ключевые тарифные решения Правления ФАС России в сфере электроэнергетики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декабря 2015, 11:05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30 ноября 2015 года на заседании Правления Федеральной антимонопольной службы (ФАС России) был принят сводный прогнозный баланс производства и поставок электрической энергии и мощности в рамках Единой энергетической системы (ЕЭС России) по субъектам Российской Федерации на 2016 год. </w:t>
      </w:r>
      <w:r>
        <w:br/>
      </w:r>
      <w:r>
        <w:t xml:space="preserve">
С использованием значений, утвержденных в сводном прогнозном балансе, будет осуществляться расчет регулируемых цен (тарифов) на электрическую энергию и мощность, подлежащих государственному регулированию, для субъектов электроэнергетики в 2016 году.</w:t>
      </w:r>
      <w:r>
        <w:br/>
      </w:r>
      <w:r>
        <w:t xml:space="preserve">
Также балансовые объемы электрической энергии и мощности служат основой для формирования и дальнейшего заключения участниками оптового рынка договоров, в том числе регулируемых (РД), на основании которых осуществляется купля-продажа электрической энергии и (или) мощности на оптовом рынке.</w:t>
      </w:r>
      <w:r>
        <w:br/>
      </w:r>
      <w:r>
        <w:t xml:space="preserve">
Еще одним важным решением Правления стало утверждение цен на электрическую энергию и мощность, которую производят с использованием генерирующих объектов, поставляющих мощность в вынужденном режиме в 2016 году.</w:t>
      </w:r>
      <w:r>
        <w:br/>
      </w:r>
      <w:r>
        <w:t xml:space="preserve">
Начиная с 2016 года цена на мощность, производимую с использованием генерирующего оборудования, отнесенного к генерирующим объектам, мощность которых поставляется в вынужденном режиме не превышает цену на мощность, поставляемую во втором полугодии предыдущего периода регулирования.</w:t>
      </w:r>
      <w:r>
        <w:br/>
      </w:r>
      <w:r>
        <w:t xml:space="preserve">
Также, впервые на заседании коллегиального органа, были рассмотрены разногласия в области государственного регулирования цен (тарифов) в электроэнергетике. В частности, разногласия между ОАО «Тульская энергосбытовая компания» и Комитетом Тульской области по тарифам и разногласия между ООО «Химмаш Энерго» и Региональной энергетической комиссией Свердловской области. По результатам рассмотрения разногласий, членами  Коллегиального органа было принято решение отказать  в удовлетворении требований заявителям.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