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Четвертый антимонопольный пакет прошел все этапы принятия в Государственной Думе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2015,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сентября 2015 года депутаты Государственной Думы Российской Федерации в третьем чтении одобрили проект поправок в Федеральный закон «О защите конкуренции» (т.н. «четвертый антимонопольный пакет»). </w:t>
      </w:r>
      <w:r>
        <w:br/>
      </w:r>
      <w:r>
        <w:t xml:space="preserve">
Законопроект направлен на сокращение административных ограничений для бизнеса и одновременное снижение участия государства в экономике.</w:t>
      </w:r>
      <w:r>
        <w:br/>
      </w:r>
      <w:r>
        <w:t xml:space="preserve">
Основные положения: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Расширение института предупреждения и распространение его на действия органов государственной власти и местного самоуправления (статья 15), недобросовестную конкуренцию (кроме случаев нарушения исключительных прав) и иные формы злоупотребления доминирующим положением (пункты 6 и 8 части 1 статьи 10);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Предоставление Правительству РФ права определять правила недискриминационного доступа к товарам на высококонцентрированных товарных рынках при наличии на них нарушений антимонопольного законодательства;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Расширение перечня лиц, которым может быть направлено предостережение (включение в их число должностных лиц органов власти);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Исключение из статьи 5 Закона о защите конкуренции положения о том, что доминирующим может быть признано положение хозяйствующего субъекта с долей менее 35 процентов;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Исключение возможности применения запрета на злоупотребление доминирующим положением в случае, если такие действия приводят только к ущемлению интересов лиц, не связанных с осуществлением предпринимательской деятельности;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6. Уточнение части 1 статьи 11 Закона о защите конкуренции в части признания картелем соглашений, заключенных между хозяйствующими субъектами-покупателями;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7. Наделение ФАС России полномочием по пересмотру решений территориальных антимонопольных органов;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8. Заключение соглашений хозяйствующих субъектов об осуществлении совместной деятельности с предварительного согласия антимонопольного органа по правилам контроля экономической концентрации;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9. Исключение уведомительного контроля сделок субъектов естественных монополий;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10. Исключение реестра лиц, имеющих долю на товарном рынке свыше тридцати пяти процентов;</w:t>
      </w:r>
      <w:r>
        <w:br/>
      </w:r>
      <w:r>
        <w:t xml:space="preserve">
11.	Дополнение Закона новой главой, предусматривающей подробное описание недопустимых практик недобросовестной конкуренции (вместо статьи 14 Закона о защите конкуренции). </w:t>
      </w:r>
      <w:r>
        <w:br/>
      </w:r>
      <w:r>
        <w:t xml:space="preserve">
12.	Совершенствование антимонопольного процесса рассмотрения дел: введение института предварительного заключения комиссии о выявленном нарушении, закрепление видов доказательств, критериев их относимости и допустимости. </w:t>
      </w:r>
      <w:r>
        <w:br/>
      </w:r>
      <w:r>
        <w:t xml:space="preserve">
Теперь законопроект будет рассматриваться в Совете Федерации Федерального Собрания РФ.</w:t>
      </w:r>
      <w:r>
        <w:br/>
      </w:r>
      <w:r>
        <w:t xml:space="preserve">
«Поправки в Закон о защите конкуренции определяют процедуру пересмотра коллегиальными органами ФАС России решений и предписаний территориальных антимонопольных органов. Так, предусматривается, что решение и предписание УФАС России могут быть обжалованы в коллегиальный орган ФАС России в течение месяца со дня их вынесения», - прокомментировал начальник Правового управления ФАС России Сергей Пузыревский.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