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завершила работу по исследованию мелкооптовых рынков автомобильных бензинов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2015, 14:54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завершила работу по исследованию мелкооптовых рынков автомобильных бензинов.</w:t>
      </w:r>
      <w:r>
        <w:br/>
      </w:r>
      <w:r>
        <w:t xml:space="preserve">
Исследование проведено во исполнение Плана работы ФАС России по анализу состояния конкуренции на товарных рынках на 2013-2014 годы.</w:t>
      </w:r>
      <w:r>
        <w:br/>
      </w:r>
      <w:r>
        <w:t xml:space="preserve">
Временной интервал исследования в соответствии с Планом, а также учитывая, что исследование носило ретроспективный характер, был определен как 2012 год.</w:t>
      </w:r>
      <w:r>
        <w:br/>
      </w:r>
      <w:r>
        <w:t xml:space="preserve">
По результатам исследования установлено, что в 2012 году географическими границами этого товарного рынка являлись:</w:t>
      </w:r>
      <w:r>
        <w:br/>
      </w:r>
      <w:r>
        <w:t xml:space="preserve">
	либо административные границы субъекта Российской Федерации (установлено 37 товарных рынков, географические границы которых совпадают с административными границами субъектов Российской Федерации);</w:t>
      </w:r>
      <w:r>
        <w:br/>
      </w:r>
      <w:r>
        <w:t xml:space="preserve">
	либо объединение административных границ нескольких субъектов Российской Федерации (установлено 13 товарных рынков, географические границы которых включают в себя административные территории нескольких субъектов Российской Федерации).</w:t>
      </w:r>
      <w:r>
        <w:br/>
      </w:r>
      <w:r>
        <w:t xml:space="preserve">
Кроме того, по итогам анализа установлено, что все товарные рынки в соответствии со значениями коэффициентов рыночной концентрации и индексов рыночной концентрации Герфиндаля-Гиршмана характеризовались высоким уровнем концентрации.</w:t>
      </w:r>
      <w:r>
        <w:br/>
      </w:r>
      <w:r>
        <w:t xml:space="preserve">
На основе проведенного исследования, с учетом показателей рыночной концентрации, можно сделать вывод, что мелкооптовые рынки автомобильных бензинов в Российской Федерации в 2012 году являлись высококонцентрированными. Они относятся к товарным рынкам с неразвитой конкуренцией, большинство из существующих барьеров входа на которые являются труднопреодолимыми.</w:t>
      </w:r>
      <w:r>
        <w:br/>
      </w:r>
      <w:r>
        <w:t xml:space="preserve">
Дополнительно можно отметить стабильный и неизменный состав крупнейших хозяйствующих субъектов, действующих на этих товарных рынках. В частности:</w:t>
      </w:r>
      <w:r>
        <w:br/>
      </w:r>
      <w:r>
        <w:t xml:space="preserve">
•	долю более 35% (но менее 50%) занимают ОАО «Газпром нефть» – на 5 товарных рынках, ОАО «Газпром» – на 2 товарных рынках, ОАО АНК «Башнефть» – на 1 товарном рынке, ОАО «ЛУКОЙЛ» – на 1 товарном рынке, ОАО «НК «Роснефть» – на 1 товарном рынке, ЗАО «КиТЭК» – на 1 товарном рынке.</w:t>
      </w:r>
      <w:r>
        <w:br/>
      </w:r>
      <w:r>
        <w:t xml:space="preserve">
•	долю более 50% занимают ОАО «НК «Роснефть» – на 14 товарных рынках рынках, ОАО «Газпром нефть» – на 10 товарных рынках, ОАО «Газпром» – на 7 товарных рынках, ОАО АНК «Башнефть» – на 6 товарных рынках, ОАО «ЛУКОЙЛ» – на 4 товарных рынках, ОАО «Сургутнефтегаз» – на 1 товарном рынке, ЗАО «Никифор» – на 1 товарном рынке, ГУП ЧАО «Чукотснаб» – на 1 товарном рынке.</w:t>
      </w:r>
      <w:r>
        <w:br/>
      </w:r>
      <w:r>
        <w:t xml:space="preserve">
С более подробными результатами исследования можно ознакомиться непосредственно в аналитическом отчете по результатам анализа состояния конкуренции на мелкооптовом рынке автомобильных бензинов за 2012 год размещенном на официальном сайте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