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антиконкурентный характер рекомендаций Кабинета Министров Чувашской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2015, 16:10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7 апреля 2015 года, Федеральный арбитражный суд Московского округа оставил без изменений решения Арбитражного суда г. Москвы и Девятого арбитражного апелляционного суда о законности решения по делу о нарушении Кабинетом Министров Чувашской Республики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6 марта 2014 года, Кабинет Министров Чувашской Республики был признан нарушившим часть 1 статьи 15 ФЗ «О защите конкуренции».</w:t>
      </w:r>
      <w:r>
        <w:br/>
      </w:r>
      <w:r>
        <w:t xml:space="preserve">
Основанием для возбуждения дела послужило заявление одной из управляющих организаций г. Чебоксары и результаты проведенных Чувашским УФАС России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установила, что Кабинет Министров Чувашии 14.12.2012 издал перечень поручений, согласно которому администрации г. Чебоксары было рекомендовано в срок до 01.04.2013 обеспечить перевод на обслуживание в ОАО «РКЦ» не менее 95% лицевых счетов потребителей коммунальных услуг управляющих компаний (товариществ собственников жилья) г. Чебоксары, а до 01.07.2013 обеспечить полный перевод таких счетов в ОАО «РКЦ».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получения перечня поручений администрацией г. Чебоксары был проведен ряд совещаний, по результатам которых районным администрациям города были даны и впоследствии исполнялись поручения, направленные на обеспечение сотрудничества управляющих организаций именно с ОАО «РКЦ».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материалов дела комиссия ФАС России пришла к выводу о том, что Кабинет Министров Чувашии создал необоснованное преимущество ОАО «РКЦ» по сравнению с его конкурентом – ОАО «ЧГЭС», что фактически могло привести к монополизации им соответствующего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Кабинет Министров Чувашии обжаловал решение ФАС России, однако Арбитражный суд г. Москвы и года Девятый арбитражный апелляционный суд 15 сентября и 25 декабря 2014 года соответственно отказали заявителю в удовлетворении исковых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Требования Кабинета Министров Чувашии об отмене решений названных судов 7 апреля 2015 года Федеральным арбитражным судом Московского округа также не были удовлетворены.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