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Концессия в Челябинске не прошла документальную проверку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февраля 2015, 18:12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предписала администрации г. Челябинск устранить нарушения при проведении конкурса на заключение концессионного соглашения на городские объекты водоснабжения и водоотведения.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Комиссия ведомства признала обоснованной жалобу участника концессии – ООО «Промышленные информационные технологии» на действия организатора торгов – Администрации города Челябинска. Представители компании обращали внимание регулятора на ряд спорных пунктов в конкурсной документации заказчика.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 конкурсной документации был установлен предельный размер расходов концессионера на ежегодное создание и реконструкцию объекта концессии.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этого, в документах были указаны точные величины необходимой нагрузки водопроводной инфраструктуры в определенных точках поставки, подключения, приема, и отведения, а также сроки ввода мощностей в эксплуатацию и их вывода.</w:t>
      </w:r>
      <w:r>
        <w:br/>
      </w:r>
      <w:r>
        <w:t xml:space="preserve">
ФАС России выдала Администрации г. Челябинск обязательное для исполнения предписание по устранению этих нарушений.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