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Условия конкуренции должны быть равными для всех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2014, 14:58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 в отношении ФСТ России.</w:t>
      </w:r>
      <w:r>
        <w:br/>
      </w:r>
      <w:r>
        <w:t xml:space="preserve">
Федеральная служба по тарифам издала и применяет приказ «О внесении изменений и дополнений в Прейскурант № 10-01 «Тарифы на перевозки грузов и услуги инфраструктуры, выполняемые российскими железными дорогами». Приказ устанавливает пониженные железнодорожные тарифы в отношении порожнего пробега </w:t>
      </w:r>
      <w:r>
        <w:rPr>
          <w:b/>
        </w:rPr>
        <w:t xml:space="preserve">определенных моделей вагонов</w:t>
      </w:r>
      <w:r>
        <w:t xml:space="preserve"> с улучшенными характеристиками: полувагоны моделей 12-9761-02, 12-9833-01, 12-9853, 12-9869, вагон-хоппер для минеральных удобрений модели 19-9835-01.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