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Одобрен Модельный закон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2014, 18:48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2014 года в ходе сорок первого пленарного заседания Межпарламентской Ассамблеи государств – участников СНГ в г. Санкт-Петербурге принят Модельный закон «О защите конкуренции». Проект закона представил статс-секретарь – заместитель руководителя Федеральной антимонопольной службы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«Закон разработан для определения единых подходов к предупреждению и пресечению нарушений антимонопольного законодательства стран СНГ», – подчеркнул Андрей Цариковский.</w:t>
      </w:r>
      <w:r>
        <w:br/>
      </w:r>
      <w:r>
        <w:t xml:space="preserve">
Напомним, что первая редакция Модельного закона была принята еще в 1996 году. Новый документ подготовлен с учетом лучших мировых практик в области антимонопольного регулирования. Главным разработчиком законопроекта выступил Межгосударственный совет по антимонопольной политике государств – участников СНГ (МСАП).</w:t>
      </w:r>
      <w:r>
        <w:br/>
      </w:r>
      <w:r>
        <w:t xml:space="preserve">
В завершение своего выступления Андрей Цариковский отметил: «Принятие новой редакции Модельного закона СНГ позволит гармонизировать конкурентные законодательства стран Содружества и сделает еще один шаг в направлении формирования общего экономического пространства».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