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Согласована новая редакция торговой политики компании «Башнефть»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2014, 11:53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согласовала новую редакцию торговой политики ОАО АНК «Башнефть» «Порядок ценообразования и общие принципы реализации автомобильных бензинов на оптовых рынках на территории Российской Федерации».</w:t>
      </w:r>
      <w:r>
        <w:br/>
      </w:r>
      <w:r>
        <w:t xml:space="preserve">
Торговая политика разработана компанией в целях установления недискриминационных и прозрачных условий реализации нефтепродуктов на оптовых рынках на территории Российской Федерации. Она определяет принципы и каналы реализации нефтепродуктов, квалификационные требования к контрагентам, содержит сведения о порядке определения цены, о направлениях и объемах реализации и порядке заключения договоров поставки нефтепродуктов на оптовых рынках на территории Российской Федерации.</w:t>
      </w:r>
      <w:r>
        <w:br/>
      </w:r>
      <w:r>
        <w:t xml:space="preserve">
Ключевое изменение в торговой политике касается возможности увеличения объемов поставок нефтепродуктов в адрес организаций, не входящих в группу лиц ОАО АНК «Башнефть» и не аффилированных с компанией как посредством предложения на биржевых торгах, так и по прямым договорам оптом с нефтеперерабатывающих заводов и нефтебаз.</w:t>
      </w:r>
      <w:r>
        <w:br/>
      </w:r>
      <w:r>
        <w:t xml:space="preserve">
«Заслуживает особого внимания организационное обособление компанией розничного сегмента рынка нефтепродуктов в отдельное юридическое лицо, что будет способствовать увеличению открытости и прозрачности продаж, и позволит обеспечить недискриминационный допуск потребителей на этот товарный рынок», – отметил заместитель руководителя ФАС России Анатолий Голомолзин.</w:t>
      </w:r>
      <w:r>
        <w:br/>
      </w:r>
      <w:r>
        <w:t xml:space="preserve">
Напомним, ранее ФАС России были согласованы торговые политики ОАО «Газпром нефть» и Группы «ЛУКОЙЛ», в которых также закреплены положения об организационном обособлении видов деятельности.</w:t>
      </w:r>
      <w:r>
        <w:br/>
      </w:r>
      <w:r>
        <w:t xml:space="preserve">
«Эти документы и практика их применения станут важным шагом в формировании цивилизованных рыночных условий на рынках нефти и нефтепродуктов в Российской Федерации», - подчеркнул начальник Управления контроля топливно-энергетического комплекса ФАС России Дмитрий Махонин.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