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Сладкое дело: три судебных решения в пользу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мая 2014, 14:57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Федеральный арбитражный суд Московского округа оставил в силе решение Арбитражного суда города Москвы и постановление Девятого арбитражного апелляционного суда, отказав ООО «Амилко» в удовлетворении заявленных требований: ЗАО "Каргилл А.О." и ООО "Каргилл" ("дочки" международной компании Cargill) не злоупотребляли доминирующим положением на рынке крахмальной патоки.</w:t>
      </w:r>
      <w:r>
        <w:br/>
      </w:r>
      <w:r>
        <w:t xml:space="preserve">
Напомним, что в декабре 2012 года один из ведущих производителей кукурузного крахмала в России ООО "Амилко" обратился в Федеральную антимонопольную службу с заявлением о злоупотреблении компаниями "Каргилл" доминирующим положением на рынке крахмальной патоки. Однако ФАС России в действиях компаний признаков нарушения закона о защите конкуренции не обнаружила: ни в части установления монопольно низких цен на крахмальную патоку, ни в части навязывания контрагенту невыгодных условий договора и экономически или технологически не обоснованного установления различных цен на один и тот же товар (ст. 10 закона № 135-ФЗ). </w:t>
      </w:r>
      <w:r>
        <w:br/>
      </w:r>
      <w:r>
        <w:t xml:space="preserve">
«Поведение компании Каргилл на рынке крахмальной патоки соответствовало антимонопольному законодательству», – заявляла ранее начальник Управления контроля химической промышленности и агропромышленного комплекса ФАС России Анна Мирочиненко.  </w:t>
      </w:r>
      <w:r>
        <w:br/>
      </w:r>
      <w:r>
        <w:t xml:space="preserve">
ООО "Амилко" не согласилось с решением ФАС и обжаловало его в судебном порядке. Но суды двух инстанций отказали ему в удовлетворении заявленных требований, подтвердив законность решения антимонопольного органа.</w:t>
      </w:r>
      <w:r>
        <w:br/>
      </w:r>
      <w:r>
        <w:t xml:space="preserve">
Тогда ООО "Амилко" обратилось в кассационный суд и обжаловала решение Арбитражного суда от 06 ноября 2013 года и постановление Девятого арбитражного апелляционного суда от 12 февраля 2014 года. Однако Федеральный арбитражный суд Московского округа в удовлетворении заявленных требований также отказал. Решение ФАС России оставлено в силе.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