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единые условия для всех участников отбора инвестиционных проектов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2014, 13:15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НП «Совет рынка» и ОАО «АТС» исполнили предупреждение Федеральной антимонопольной службы (ФАС России) путем внесения изменений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энергии.</w:t>
      </w:r>
      <w:r>
        <w:br/>
      </w:r>
      <w:r>
        <w:t xml:space="preserve">
Напомним, 1 апреля 2014 года ФАС России выдала НП «Совет рынка» и ОАО «АТС» предупреждение о прекращении действий (бездействия), выразившихся в злоупотреблении доминирующим положением. Компании навязывали участникам рынка невыгодные для них условия Договора о присоединении к торговой системе оптового рынка (пункт 3 части 1 статьи 10 закона «О защите конкуренции»). </w:t>
      </w:r>
      <w:r>
        <w:br/>
      </w:r>
      <w:r>
        <w:t xml:space="preserve">
В Регламенте проведения отборов проектов, который является приложением к Договору о присоединении, устанавливались требования по обеспечению исполнения обязательств участника отбора инвестиционных проектов по строительству генерирующих объектов, функционирующих на основе использования возобновляемых источников энергии. В отношении небольших участников, совокупная установленная мощность которых не превышает 2500 МВт, были предусмотрены чрезмерные и невыгодные требования по обеспечению исполнения обязательств: эти участники должны были получить поручительство у более крупных субъектов рынка, которые являются их конкурентами.</w:t>
      </w:r>
      <w:r>
        <w:br/>
      </w:r>
      <w:r>
        <w:t xml:space="preserve">
Таким образом, это поручительство могли получить только те небольшие компании, которые входят в группу лиц с крупными «игроками» рынка. </w:t>
      </w:r>
      <w:r>
        <w:br/>
      </w:r>
      <w:r>
        <w:t xml:space="preserve">
10 апреля 2014 года на заседании Наблюдательного совета НП «Совет рынка» были утверждены изменения в Регламент проведения отбора проектов, которые предусматривают единые условия для всех участников отбора инвестиционных проектов и исключают требования о поручительстве у крупных компаний, что обеспечивает исполнение предупреждения ФАС России.</w:t>
      </w:r>
      <w:r>
        <w:br/>
      </w:r>
      <w:r>
        <w:t xml:space="preserve">
«Принятые изменения позволят расширить перечень участников, которые могут претендовать на поставку энергии с использованием возобновляемых источников энергии на рынок и тем самым усилить конкуренцию между этими участниками, позволив отобрать наиболее эффективных», - отметил начальник Управления контроля электроэнергетики ФАС России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