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Попытка завладеть названием популярного газированного напитка не удалась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мая 2014, 11:28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Приобретение и использование компанией «Жигулевское пиво» (ОАО)  исключительных прав на комбинированный товарный знак со словесным элементом «САЯНЫ» по свидетельству № 142809 в отношении услуг 32 класса Международной классификации товаров и услуг (безалкогольные напитки) Комиссия ФАС России признала недобросовестной конкуренцией. Решение принято в соответствии  с требованиями части 2 статьи 14 ФЗ «О защите конкуренции». </w:t>
      </w:r>
      <w:r>
        <w:br/>
      </w:r>
      <w:r>
        <w:t xml:space="preserve">
Основанием для возбуждения дела послужили заявления о недобросовестности действий ОАО «Жигулевское пиво» направленные в ФАС России от ООО «Ессентукский Пивзавод», ОАО «АЯН», ООО «Минусинский пивоваренный завод», ИП Цирикидзе О.О., ОАО «Останкинский завод напитков», ЗАО «Завод розлива минеральной воды «Омский». </w:t>
      </w:r>
      <w:r>
        <w:br/>
      </w:r>
      <w:r>
        <w:t xml:space="preserve">
Используя исключительные права на словесное обозначение (название) «САЯНЫ», ОАО «Жигулевское пиво» попыталось препятствовать другим производителям этого широко известного с советских времен газированного напитка в использовании этого наименования. При этом необходимо  отметить,  что большая часть обратившихся с заявлением компаний производят этот напиток с советского периода времени, а правопредшественник ОАО «Останкинский завод напитков» участвовал в разработке и апробации этого популярного газированного напитка. </w:t>
      </w:r>
      <w:r>
        <w:br/>
      </w:r>
      <w:r>
        <w:t xml:space="preserve">
В настоящее время кроме правообладателя на товарный знак «САЯНЫ» правом пользования располагает по договору исключительной лицензии ООО "ПК "АКВАЛАЙФ" (бренд "Напитки из Черноголовки").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Согласно части 2 статьи 14 Федерального закона от 26.07.2006 № 135-ФЗ «О защите конкуренции»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услуг.</w:t>
      </w:r>
      <w:r>
        <w:br/>
      </w:r>
      <w:r>
        <w:t xml:space="preserve">
В соответствии с пунктом 6 части 2 статьи 1512 Гражданского кодекса Российской Федерации предоставление правовой охраны товарному знаку может быть оспорено и признано недействительным полностью или частично в течение всего срока действия правовой охраны, если связанные с государственной регистрацией товарного знака действия правообладателя признаны в установленном порядке злоупотреблением правом либо недобросовестной конкуренцией.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