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конкурс на управление жилищным фондом Минобороны должен быть открытым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2013,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2013 года Федеральная антимонопольная служба (ФАС России) признала Министерство обороны РФ (Минобороны России) нарушившим часть 1 статьи 15 и статью 17.1 Закона о защите конкуренции — ограничивающие конкуренцию действия федеральных органов исполнительной власти и нарушения при заключении договоров в отношении государственного 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Минобороны России провело конкурс в закрытой форме и заключило договор управления специализированным жилищным фондом военных городков Министерства обороны РФ с ОАО «Славянка». Однако согласно статье 163 Жилищного Кодекса РФ торги должны были проводиться в формате открытого конкурса. Кроме того, дополнительное соглашение к договору управления предоставило  ОАО «Славянка» право на использование пустующих помещений, входящих в состав общего имущества специализированного жилищного фонда по своему усмотрению. И также это право было предоставлено без проведения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«Эти действия Минобороны России привели к ограничению конкуренции на торгах, лишили хозяйствующие субъекты возможности участвовать в открытом конкурсе и оказывать соответствующие услуги по управлению специализированным жилищным фондом», - прокомментировал решение Комиссии начальник Управления контроля ЖКХ, строительства и природных ресурсов ФАС России Вадим Соловьев.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