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недостоверную рекламу о продаже земельных участков Агентство «Славянский двор» получило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2013, 18:07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 рекламные утверждения «участки в Жуковке на территории Управделами президента в камерном посёлке» и «Николина гора, «Сосновый бор» …Выход на территорию пансионата Управделами» не соответствующие действительности и содержащие  недостоверные сведения о предлагаемых к продаже участков, ООО Агентство «Славянский двор»  получило штраф в 100 тысяч рублей. Постановление о штрафе ФАС России вынесла 27 июня 2013 года, поскольку ранее признала эту рекламу нарушающей требования пункта 2 части 3 статьи 5 Федерального закона «О рекламе».</w:t>
      </w:r>
      <w:r>
        <w:br/>
      </w:r>
      <w:r>
        <w:t xml:space="preserve">
В газете «На Рублевке» № 31 (391) за 15.11.2012 размещалась реклама с предложением: «Лучший участок в Барвихе. Фантастический участок в самом лучшем поселке в Барвихе с выходом и видом на озеро. А также участки в Жуковке на территории Управделами президента в камерном посёлке – от 0,5 га до 3 га. Контакты ». В № 32 (392) этой же газеты за 29.11.2012 размещалась реклама:  «Николина гора, «Сосновый бор». Участок 40 соток. Дом 700 м кв. Бассейн. Выход на территорию пансионата Управделами. Берег Москва-реки. Контакты».  Таким образом, реклама позволяет ложно воспринимать предлагаемые Агентством к продаже земельные участки как часть имущественного комплекса подведомственных Управлению делами организаций, являющихся собственностью Российской Федерации.</w:t>
      </w:r>
      <w:r>
        <w:br/>
      </w:r>
      <w:r>
        <w:t xml:space="preserve">
В соответствии с частью 6 статьи 38 Федерального закона «О рекламе» рекламодатель, в этом случае -  ООО Агентство «Славянский двор», несет ответственность за недостоверную рекламу.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1.В соответствии с пунктом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 </w:t>
      </w:r>
      <w:r>
        <w:br/>
      </w:r>
      <w:r>
        <w:t xml:space="preserve">
2.В соответствии с частью 6 статьи 38 Федерального закона «О рекламе» рекламодатель несет ответственность за нарушение требований, установленных частью 3 статьи 5 Федерального закона «О рекламе». </w:t>
      </w:r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4.Общая сумма штрафов, наложенных ФАС России в прошлом году за различные нарушения законодательства о рекламе, составила более 167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