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некорректное сравнение в рекламе аналогичных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2013,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тысяч рублей штрафа получило от Федеральной антимонопольной службы (ФАС России) ООО «ПТО «Тех-КРЕП»  за недостоверное и некорректное сравнение в рекламе своей продукции с продукцией конкурентов. </w:t>
      </w:r>
      <w:r>
        <w:br/>
      </w:r>
      <w:r>
        <w:t xml:space="preserve">
Ранее Комиссия ФАС России признала ООО «ПТО «Тех-КРЕП»  нарушившим законодательство Российской Федерации о рекламе по факту распространения рекламы с утверждением «Строительный крепеж № 1». Ненадлежащая реклама распространялась в январе-ноябре 2012 года на территории РФ в местах продажи крепежной продукции в г. Красноярске, на отдельно стоящих рекламных конструкциях в г. Самаре, а также на транспортном средстве, в сети Интернет. Комиссия ФАС России пришла к выводу, что словосочетание «Строительный крепёж №1» содержит сравнение продукции ООО "ПТО "Тех-КРЕП" с аналогичной продукцией на строительном рынке и свидетельствует о ее превосходстве.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1.Согласно пункту 1 части 2 статьи 5 Федерального закона от 13.03.2006 № 38-ФЗ «О рекламе» (далее - Федерального закона «О рекламе») недобросовестной признаётся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2. В соответствии с пунктом 1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реализуется другими продавцами.</w:t>
      </w:r>
      <w:r>
        <w:br/>
      </w:r>
      <w:r>
        <w:t xml:space="preserve">
3. Согласно части 6 статьи 38 Федерального закона «О рекламе» рекламодатель несет ответственность за нарушение требований, установленных частями 2-8 статьи 5 Федерального закона «О рекламе».</w:t>
      </w:r>
      <w:r>
        <w:br/>
      </w:r>
      <w:r>
        <w:t xml:space="preserve">
4.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5. Общая сумма штрафов, наложенных ФАС России в прошлом году за различные нарушения законодательства о рекламе, составила более 167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