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поддерживает инициативы Минкомсвязи по тарификации услуг подвижной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2013, 16:43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всецело поддерживает инициативы и предложения Министерства связи и массовых коммуникаций (Минкомсвязи России)  по обеспечению доступности услуг связи для населения на всей территории РФ, а также повышению прозрачности тарифообразования. ФАС России уделяет особое внимание к вопросу отмены «внутрироссийского роуминга».</w:t>
      </w:r>
      <w:r>
        <w:br/>
      </w:r>
      <w:r>
        <w:t xml:space="preserve">
При этом, по мнению ФАС России, не должно ухудшаться положение потребителя, как в части информирования о цене услуги, так и в части уровня цен.</w:t>
      </w:r>
      <w:r>
        <w:br/>
      </w:r>
      <w:r>
        <w:t xml:space="preserve">
ФАС России поддерживает предложение Минкомсвязи России о поэтапном решении вопросов «внутрироссийского роуминга»:</w:t>
      </w:r>
      <w:r>
        <w:br/>
      </w:r>
      <w:r>
        <w:t xml:space="preserve">
	Абоненту должно быть предоставлено право совершения звонков по месту пребывания по тарифам этого региона.</w:t>
      </w:r>
      <w:r>
        <w:br/>
      </w:r>
      <w:r>
        <w:t xml:space="preserve">
	Оплата междугородной составляющей при совершении звонков вне пределов места пребывания должна осуществляться абонентом, выезжающим за пределы своего «домашнего» региона.</w:t>
      </w:r>
      <w:r>
        <w:br/>
      </w:r>
      <w:r>
        <w:t xml:space="preserve">
В связи с этим необходимо создать соответствующие технологические и экономические условия, путем изменения нормативных требований по организации сетей связи и порядку пропуска трафика.</w:t>
      </w:r>
      <w:r>
        <w:br/>
      </w:r>
      <w:r>
        <w:t xml:space="preserve">
Вопросы оптимизации сетей связи и повышения эффективности их взаимодействия, в том числе, в целях создания предпосылок для снижения стоимости услуг связи и повышения их качества, должны быть рассмотрены и в рамках концепции организации межоператорского взаимодействия. Разработка этой концепции определена планом мероприятий («дорожной картой») «Развитие конкуренции и совершенствование антимонопольной политики», утвержденным распоряжением Правительства Российской Федерации от 28.12.2012 № 2579 р.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