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Московское областное УФАС России проверит законность соглашения между Шереметьево и Аэрофлотом</w:t>
      </w:r>
    </w:p>
    <w:p xmlns:w="http://schemas.openxmlformats.org/wordprocessingml/2006/main" xmlns:pkg="http://schemas.microsoft.com/office/2006/xmlPackage" xmlns:str="http://exslt.org/strings" xmlns:fn="http://www.w3.org/2005/xpath-functions">
      <w:r>
        <w:t xml:space="preserve">30 января 2013, 18:17</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Московской области (Московское областное УФАС России) возбудило дела об административных правонарушениях в отношении ОАО «Международный аэропорт Шереметьево» (ОАО «МАШ») и ОАО «Аэрофлот – российские авиалинии» (ОАО «Аэрофлот»), ответственность по которым предусмотрена частью 1 статьи 14.32 Кодекса Российской Федерации об административных правонарушениях.</w:t>
      </w:r>
    </w:p>
    <w:p xmlns:w="http://schemas.openxmlformats.org/wordprocessingml/2006/main" xmlns:pkg="http://schemas.microsoft.com/office/2006/xmlPackage" xmlns:str="http://exslt.org/strings" xmlns:fn="http://www.w3.org/2005/xpath-functions">
      <w:pPr>
        <w:jc w:val="both"/>
      </w:pPr>
      <w:r>
        <w:t xml:space="preserve">Основанием для возбуждения этих дел явилось решение Московского областного УФАС России от 14 декабря 2012 года по делу о нарушении антимонопольного законодательства (части 4 статьи 11 Закона «О защите конкуренции»). Нарушение выразилось в заключении Соглашения о стратегическом сотрудничестве между ОАО «МАШ» и ОАО «Аэрофлот», которое может привести к ограничению конкуренции на рынке оказания услуг по авиаперевозкам, путем создания условий, ставящих авиакомпании на этом товарном рынке в неравное положение при использовании инфраструктуры международного аэропорта Шереметьево.</w:t>
      </w:r>
    </w:p>
    <w:p xmlns:w="http://schemas.openxmlformats.org/wordprocessingml/2006/main" xmlns:pkg="http://schemas.microsoft.com/office/2006/xmlPackage" xmlns:str="http://exslt.org/strings" xmlns:fn="http://www.w3.org/2005/xpath-functions">
      <w:pPr>
        <w:jc w:val="both"/>
      </w:pPr>
      <w:r>
        <w:t xml:space="preserve">Напомним, ранее в отношении ОАО «МАШ» была инициирована внеплановая документарная проверка на предмет соблюдения антимонопольных правил и требований, в рамках которой получена копия Соглашения «О стратегическом сотрудничестве» от 8 октября 2012 года, заключенного Обществом с ОАО «Аэрофлот».</w:t>
      </w:r>
    </w:p>
    <w:p xmlns:w="http://schemas.openxmlformats.org/wordprocessingml/2006/main" xmlns:pkg="http://schemas.microsoft.com/office/2006/xmlPackage" xmlns:str="http://exslt.org/strings" xmlns:fn="http://www.w3.org/2005/xpath-functions">
      <w:r>
        <w:t xml:space="preserve">Проанализировав условия Соглашения, Московское областное УФАС России установило, что реализация этого соглашения может предоставить отдельным авиакомпаний преимущественное положение, что противоречит действующему законодательству.</w:t>
      </w:r>
    </w:p>
    <w:p xmlns:w="http://schemas.openxmlformats.org/wordprocessingml/2006/main" xmlns:pkg="http://schemas.microsoft.com/office/2006/xmlPackage" xmlns:str="http://exslt.org/strings" xmlns:fn="http://www.w3.org/2005/xpath-functions">
      <w:pPr>
        <w:jc w:val="both"/>
      </w:pPr>
      <w:r>
        <w:t xml:space="preserve">Примечание: в соответствии с ч.1 ст.14.32 КоАП РФ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w:t>
      </w:r>
      <w:r>
        <w:br/>
      </w:r>
      <w:r>
        <w:t xml:space="preserve">
–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