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выступил на 4-й Международной Конференции «Слияния и поглощения в России и СНГ»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14:56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октября 2012 года заместитель руководителя Федеральной антимонопольной службы (ФАС России) Анатолий Голомолзин выступил на 4-й Конференции Международной ассоциации адвокатских образований (IBA) «Слияния и поглощения в России и СНГ».</w:t>
      </w:r>
      <w:r>
        <w:br/>
      </w:r>
      <w:r>
        <w:t xml:space="preserve">
Анатолий Голомолзин принял участие в работе сессии Антимонопольное регулирование сделок по слиянию и поглощению в России и СНГ, включая крупные сделки и сделки с иностранным элементом, где рассказал о практике ФАС России в области осуществления контроля за крупными сделками слияния и приобретения, а также об основных тенденциях на рынке, связанных с изменением законодательства и ситуации на соответствующих товарных рынках.</w:t>
      </w:r>
      <w:r>
        <w:br/>
      </w:r>
      <w:r>
        <w:t xml:space="preserve">
В ходе своего выступления Анатолий Голомолзин рассказал о том, что в 2009 г. более чем в 3,7 раз сократилось количество сделок, контролируемых ФАС России. Такая тенденция была обусловлена увеличением порогового значения, начиная с которого антимонопольный орган осуществляет контроль сделок. В последующие три года продолжилось существенное снижение числа уведомлений (средний размер сделки) более чем в 2 раза, в том числе по причине отказа от подачи уведомлений в отношении соглашений организаций финансового сектора. Количество ходатайств (крупные сделки), рассматриваемых ФАС России в указанный период, сократилось примерно на 30%.</w:t>
      </w:r>
      <w:r>
        <w:br/>
      </w:r>
      <w:r>
        <w:t xml:space="preserve">
В настоящее время пороговые значения, начиная с которых ФАС России осуществляет контроль крупных сделок слияний и приобретений, примерно одинаков с уровнем развитых стран, в т.ч. США и ЕС.</w:t>
      </w:r>
      <w:r>
        <w:br/>
      </w:r>
      <w:r>
        <w:t xml:space="preserve">
Анатолий Голомолзин проинформировал о готовящихся дальнейших изменениях в законодательство в части снижения административного бремени на бизнес, в том числе, об отказе от института уведомлений. Не будут подлежать рассмотрению сделки в рамках группы лиц, образованных на основе владения активами. Сделки с участием хозяйствующих субъектов, состоящих в реестре 35%, будут контролироваться только в отношении товарных рынков, по которым компании включены в реестр и на сопряженных рынках. Предполагается и дальнейшее сокращение требований по объему предоставляемой информации, в том числе той, которая может быть получена у других органов исполнительной власти. </w:t>
      </w:r>
      <w:r>
        <w:br/>
      </w:r>
      <w:r>
        <w:t xml:space="preserve">
Анатолий Голомолзин отметил, что основной объем ходатайств, рассматриваемых ФАС России, приходится на сделки приобретения акций и долей в уставном капитале крупных хозяйственных обществ. Иностранные компании более представлены в секторе крупных сделок (их доля составляет чуть более 20%). Доля средних сделок с иностранным участием, рассматриваемых ФАС России, составляет в среднем 5-7%.</w:t>
      </w:r>
      <w:r>
        <w:br/>
      </w:r>
      <w:r>
        <w:t xml:space="preserve">
Приблизительно 5 - 7% от всех ходатайств и уведомлений удовлетворяется с установлением требований, направленных на обеспечение конкуренции. Отказ в совершении сделок имеет место примерно в 1% случаев от общего количества обращений.</w:t>
      </w:r>
      <w:r>
        <w:br/>
      </w:r>
      <w:r>
        <w:t xml:space="preserve">
Количество крупных сделок в РФ является большим, чем в других странах. Это говорит о достаточно высокой инвестиционной привлекательности российских активов, высоком уровне экономической активности, и во многом обусловлено происходящими процессами реформирования.</w:t>
      </w:r>
      <w:r>
        <w:br/>
      </w:r>
      <w:r>
        <w:t xml:space="preserve">
Более детально в своем выступлении Анатолий Голомолзин остановился на описании сделок в отдельных секторах: электроэнергетики, нефти и нефтепродуктов, телекоммуникаций, железнодорожного транспорта, аэропортов. На примере этих сделок было показано, что динамика сделок, в частности, зависит от процесса реформирования в этих сферах и, в значительной степени, от формирования условий конкуренции на этих рынках.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