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арбитражный суд Поволжского округа: Комитет по координации и контролю закупок для государственных нужд Саратовской области нарушил антимонольное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2011, 11:34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Поволжского округа подтвердил законность и обоснованность решения и предписания Саратовского УФАС России в отношении Комитета по координации и контролю закупок для государственных нужд Саратовской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размещении комитетом на сайте www.goszakaz.saratov.gov.ru инструкции для участников размещения заказа по работе с АИС «Госзакупки» для формирования котировочных заявок в форме электронных документов, предусматривающей обязательное получение участниками размещения заказа в комитете пароля и логина. Кроме того, в инструкции было установлено требование об указании области применения в представляемых участниками размещения заказа копиях бланков сертификатов открытого ключа ЭЦП, не соответствующее положениям Закона об ЭЦП.</w:t>
      </w:r>
      <w:r>
        <w:br/>
      </w:r>
      <w:r>
        <w:br/>
      </w:r>
      <w:r>
        <w:t xml:space="preserve">
Ссылаясь на неисполнение требования, комитет отказал ООО «Канцерна» в предоставлении доступа в рабочую зону сайта www.goszakaz.saratov.gov.ru, однако другие 16 участников, также не указавшие область применения, были допущены к конкурсу.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декабре 2010 года Комиссия Саратовского УФАС признала Комитет по координации и контролю закупок для государственных нужд Саратовской области нарушившим часть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антимонопольного органа Комитет по координации и контролю закупок для государственных нужд Саратовской области обжаловал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Саратовской области, Двенадцатый арбитражного апелляционного суда, Федеральный арбитражный суд Поволжского округа оставил в силе решение и предписание Саратовского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«Подобная процедура получения доступа в рабочую зону сайта www.goszakaz.saratov.gov.ru не предусмотрена Законом о размещении заказов и создает дополнительный барьер для участников размещения заказов, желающих участвовать в запросе котировок», - прокомментировала заместитель руководителя Саратовского УФАС России Людмила Борисова.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Справка</w:t>
      </w:r>
      <w:r>
        <w:br/>
      </w:r>
      <w:r>
        <w:t xml:space="preserve">
Согласно пункту 2 части 1 статьи 15 Федерального закона «О защите конкуренции»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запрещается: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