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«Тюменьэнерго» назначен штраф в 1,8 млн за злоупотребление доминирующим положением</w:t>
      </w:r>
    </w:p>
    <w:p xmlns:w="http://schemas.openxmlformats.org/wordprocessingml/2006/main" xmlns:pkg="http://schemas.microsoft.com/office/2006/xmlPackage" xmlns:str="http://exslt.org/strings" xmlns:fn="http://www.w3.org/2005/xpath-functions">
      <w:r>
        <w:t xml:space="preserve">12 августа 2011, 15:28</w:t>
      </w:r>
    </w:p>
    <w:p xmlns:w="http://schemas.openxmlformats.org/wordprocessingml/2006/main" xmlns:pkg="http://schemas.microsoft.com/office/2006/xmlPackage" xmlns:str="http://exslt.org/strings" xmlns:fn="http://www.w3.org/2005/xpath-functions">
      <w:r>
        <w:t xml:space="preserve">Управление Федеральной антимонопольной службы по Тюменской области (Тюменское УФАС России) назначило ОАО «Тюменьэнерго» административный штраф по статье 14.31 КоАП РФ в размере 1,8 млн рублей.</w:t>
      </w:r>
      <w:r>
        <w:br/>
      </w:r>
      <w:r>
        <w:t xml:space="preserve">
Штраф назначен по факту признания ОАО «Тюменьэнерго» нарушившим часть 1 статьи 10 закона «О защите конкуренции». В Тюменское УФАС России поступило заявление ОАО «СУЭНКО», которому необходимо было подключить своего заявителя к электрической сети, однако энергокомпания выставила необоснованные условия. Комиссия антимонопольного органа пришла к выводу, что ОАО «Тюменьэнерго» злоупотребило своим доминирующим положением путем навязывания невыгодных условий договора технологического присоединения.</w:t>
      </w:r>
      <w:r>
        <w:br/>
      </w:r>
      <w:r>
        <w:t xml:space="preserve">
По условиям договора ОАО «СУЭНКО» обязано было подписать дополнительное соглашение, согласно которому ОАО «Тюменьэнерго» могло отложить дату технологического присоединения на любой удобный для себя срок. В случае реализации этих условий договора могли быть ущемлены интересы ОАО «СУЭНКО» на осуществление технологического присоединения в установленные нормативными правовыми актами сроки, также на заявителя налагались бы невыгодные для него и не предусмотренные правилами обязательства по заключению дополнительного соглашения.</w:t>
      </w:r>
      <w:r>
        <w:br/>
      </w:r>
      <w:r>
        <w:t xml:space="preserve">
«Нарушения в сфере технологического присоединения к электрическим сетям сетевых организаций носят системный характер. В последние годы ФАС России и его территориальными управлениями значительно усилена работа по пресечению таких нарушений. Принимаемые меры, в том числе привлечение нарушителей к административной ответственности в виде штрафов, рассчитываемых от выручки компании, должны дать положительный эффект в виде снижения количества нарушений в этой сфере и обеспечения доступности технологического присоединения для всех категорий потребителей», – отметил начальник Управления контроля электроэнергетики ФАС России Виталий Королев.</w:t>
      </w:r>
    </w:p>
    <w:p xmlns:w="http://schemas.openxmlformats.org/wordprocessingml/2006/main" xmlns:pkg="http://schemas.microsoft.com/office/2006/xmlPackage" xmlns:str="http://exslt.org/strings" xmlns:fn="http://www.w3.org/2005/xpath-functions">
      <w:r>
        <w:t xml:space="preserve">Справка:</w:t>
      </w:r>
      <w:r>
        <w:br/>
      </w:r>
      <w:r>
        <w:t xml:space="preserve">
Согласно ч. 1 ст. 10 Закона «О защите конкуренции» запрещаются действия (бездействие) занимающего домини 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w:t>
      </w:r>
      <w:r>
        <w:br/>
      </w:r>
      <w:r>
        <w:t xml:space="preserve">
Согласно ст. 14.31 КоАП РФ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влечет наложение административного штрафа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