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B33F7" w14:textId="5485DCCB" w:rsidR="007F2DCF" w:rsidRDefault="007F2DCF" w:rsidP="007F2DCF"/>
    <w:p w14:paraId="624A15F7" w14:textId="77777777" w:rsidR="007F2DCF" w:rsidRDefault="007F2DCF" w:rsidP="007F2DCF"/>
    <w:p w14:paraId="7E11DD5F" w14:textId="77777777" w:rsidR="007F2DCF" w:rsidRDefault="007F2DCF" w:rsidP="007F2DCF"/>
    <w:p w14:paraId="2E7EA03C" w14:textId="77777777" w:rsidR="007F2DCF" w:rsidRDefault="007F2DCF" w:rsidP="007F2DCF"/>
    <w:p w14:paraId="67EAFB9C" w14:textId="77777777" w:rsidR="007F2DCF" w:rsidRDefault="007F2DCF" w:rsidP="007F2DCF"/>
    <w:p w14:paraId="5E9EF3E0" w14:textId="77777777" w:rsidR="007F2DCF" w:rsidRDefault="007F2DCF" w:rsidP="007F2DCF"/>
    <w:p w14:paraId="349B4F74" w14:textId="77777777" w:rsidR="007F2DCF" w:rsidRDefault="007F2DCF" w:rsidP="007F2DCF"/>
    <w:p w14:paraId="65B16FE2" w14:textId="13F8BB38" w:rsidR="007F2DCF" w:rsidRDefault="007F2DCF" w:rsidP="007F2DCF"/>
    <w:p w14:paraId="49C1316E" w14:textId="2EF24857" w:rsidR="00ED7023" w:rsidRDefault="000C0C83" w:rsidP="007F2DCF">
      <w:pPr>
        <w:pStyle w:val="1"/>
      </w:pPr>
      <w:r>
        <w:t xml:space="preserve">О Промежуточных </w:t>
      </w:r>
      <w:r w:rsidR="00ED7023">
        <w:t xml:space="preserve">итогах реализации Публичной декларации Федеральной антимонопольной службы в </w:t>
      </w:r>
      <w:r>
        <w:t>2017 году</w:t>
      </w:r>
      <w:bookmarkStart w:id="0" w:name="_GoBack"/>
      <w:bookmarkEnd w:id="0"/>
    </w:p>
    <w:p w14:paraId="0D5D7094" w14:textId="77777777" w:rsidR="007F2DCF" w:rsidRDefault="007F2DCF" w:rsidP="00AC5B3D">
      <w:pPr>
        <w:pStyle w:val="2"/>
      </w:pPr>
    </w:p>
    <w:p w14:paraId="0495C212" w14:textId="77777777" w:rsidR="007F2DCF" w:rsidRDefault="007F2DCF" w:rsidP="007F2DCF">
      <w:pPr>
        <w:rPr>
          <w:rFonts w:asciiTheme="majorHAnsi" w:eastAsiaTheme="majorEastAsia" w:hAnsiTheme="majorHAnsi" w:cstheme="majorBidi"/>
          <w:sz w:val="36"/>
          <w:szCs w:val="36"/>
        </w:rPr>
      </w:pPr>
      <w:r>
        <w:br w:type="page"/>
      </w:r>
    </w:p>
    <w:p w14:paraId="0439FDB8" w14:textId="38488153" w:rsidR="007F2DCF" w:rsidRDefault="00C00349" w:rsidP="00AC5B3D">
      <w:pPr>
        <w:pStyle w:val="2"/>
      </w:pPr>
      <w:r>
        <w:lastRenderedPageBreak/>
        <w:t xml:space="preserve">Цель 1. </w:t>
      </w:r>
      <w:r w:rsidR="007F2DCF" w:rsidRPr="007F2DCF">
        <w:t>Принятие Национального плана развития конкуренции в Российской Федерации на 2017-2019 годы</w:t>
      </w:r>
    </w:p>
    <w:p w14:paraId="11AF0174" w14:textId="38BA6A33" w:rsidR="00C00349" w:rsidRDefault="00C00349" w:rsidP="00C00349">
      <w:pPr>
        <w:pStyle w:val="3"/>
      </w:pPr>
      <w:r>
        <w:t>Задача 1.1. Разработка указа президента Российской федерации «Об основных направлениях государственной политики по развитию конкуренции»</w:t>
      </w:r>
    </w:p>
    <w:p w14:paraId="370BBC8F" w14:textId="043F766E" w:rsidR="007F2DCF" w:rsidRPr="007F2DCF" w:rsidRDefault="007F2DCF" w:rsidP="00AC5B3D">
      <w:pPr>
        <w:jc w:val="both"/>
      </w:pPr>
      <w:r w:rsidRPr="007F2DCF">
        <w:t>Разработан проект указа Президента Российской Федерации «Об основных направлениях государственной политики по развитию конкуренции», который направлен на развитие конкуренции и недопущение монополистической деятельности и утверждает Национальный план развития конкуренции на 2017-2019 годы.</w:t>
      </w:r>
    </w:p>
    <w:p w14:paraId="513FA39F" w14:textId="2715536E" w:rsidR="007F2DCF" w:rsidRPr="007F2DCF" w:rsidRDefault="007F2DCF" w:rsidP="00AC5B3D">
      <w:pPr>
        <w:jc w:val="both"/>
      </w:pPr>
      <w:r w:rsidRPr="007F2DCF">
        <w:t xml:space="preserve">Проект указа обсуждался на совещаниях у Помощника Президента Российской Федерации А.Р. Белоусова, у Министра Российской Федерации М.А. Абызова, а также Первого заместителя Председателя Правительства Российской Федерации И.И. Шувалова, был доработан по итогам указанных совещаний. Ряд совещаний по проекту указа проведен с экспертами Аналитического центра «Форум», с представителями заинтересованных федеральных органов исполнительной власти. На проект указа были получены замечания и предложения таких организаций, как </w:t>
      </w:r>
      <w:r w:rsidR="00422A1E">
        <w:t>Торгово-промышленная палата России, Российский союз промышленников и предпринимателей</w:t>
      </w:r>
      <w:r w:rsidRPr="007F2DCF">
        <w:t xml:space="preserve">, «Деловая Россия», «ОПОРА России». </w:t>
      </w:r>
    </w:p>
    <w:p w14:paraId="1174E6A1" w14:textId="77777777" w:rsidR="007F2DCF" w:rsidRPr="007F2DCF" w:rsidRDefault="007F2DCF" w:rsidP="00AC5B3D">
      <w:pPr>
        <w:jc w:val="both"/>
      </w:pPr>
      <w:r w:rsidRPr="007F2DCF">
        <w:t xml:space="preserve">Доработанный проект указа направлен на согласование в заинтересованные федеральные органы исполнительной власти письмом ФАС России от 20.01.2017 № СП/2613-ПР/17 и внесен в Правительство Российской Федерации письмом ФАС России от 20.01.2017 № ИА/2697-ПР/17. </w:t>
      </w:r>
    </w:p>
    <w:p w14:paraId="4CC05620" w14:textId="54594969" w:rsidR="007F2DCF" w:rsidRPr="007F2DCF" w:rsidRDefault="007F2DCF" w:rsidP="00AC5B3D">
      <w:pPr>
        <w:jc w:val="both"/>
      </w:pPr>
      <w:r w:rsidRPr="007F2DCF">
        <w:t>По итогам совещания у Первого заместителя Председателя Правительства Россий</w:t>
      </w:r>
      <w:r w:rsidR="00A425A7">
        <w:t xml:space="preserve">ской Федерации И.И. Шувалова 8 февраля 2017 года </w:t>
      </w:r>
      <w:r w:rsidRPr="007F2DCF">
        <w:t xml:space="preserve">были урегулированы разногласия с заинтересованными федеральными органами исполнительной власти. </w:t>
      </w:r>
    </w:p>
    <w:p w14:paraId="09B4E6D7" w14:textId="5D240716" w:rsidR="007F2DCF" w:rsidRPr="007F2DCF" w:rsidRDefault="007F2DCF" w:rsidP="00AC5B3D">
      <w:pPr>
        <w:jc w:val="both"/>
      </w:pPr>
      <w:r w:rsidRPr="007F2DCF">
        <w:t>По итогам совещаний, состоявшихся у помощника Президента Росси</w:t>
      </w:r>
      <w:r w:rsidR="00A425A7">
        <w:t xml:space="preserve">йской Федерации А.Р. Белоусова 26 апреля </w:t>
      </w:r>
      <w:r w:rsidRPr="007F2DCF">
        <w:t>и в Экспертном управлении П</w:t>
      </w:r>
      <w:r w:rsidR="00A425A7">
        <w:t>резидента Российской Федерации 23 марта и 24 мая</w:t>
      </w:r>
      <w:r w:rsidRPr="007F2DCF">
        <w:t>, доработанный проект указа письмом ФАС России от 19.06.2017 № ИА/40925-ПР/17 внесен в Правительство Российской Федерации.</w:t>
      </w:r>
    </w:p>
    <w:p w14:paraId="6C23A31E" w14:textId="75DDEF87" w:rsidR="007F2DCF" w:rsidRPr="007F2DCF" w:rsidRDefault="00AC5B3D" w:rsidP="007F2DCF">
      <w:pPr>
        <w:pStyle w:val="af4"/>
        <w:jc w:val="left"/>
      </w:pPr>
      <w:r>
        <w:rPr>
          <w:lang w:val="en-US"/>
        </w:rPr>
        <w:t>UPD</w:t>
      </w:r>
      <w:r w:rsidRPr="00AC5B3D">
        <w:t xml:space="preserve">. </w:t>
      </w:r>
      <w:r w:rsidR="007F2DCF" w:rsidRPr="007F2DCF">
        <w:t>Письмом Аппарата Правительства Росси</w:t>
      </w:r>
      <w:r w:rsidR="007F2DCF">
        <w:t xml:space="preserve">йской Федерации от 21.07.2017 </w:t>
      </w:r>
      <w:r w:rsidR="007F2DCF" w:rsidRPr="007F2DCF">
        <w:t xml:space="preserve">№ П13-38927 проект указа возвращен с учетом замечаний Администрации </w:t>
      </w:r>
      <w:r w:rsidR="007F2DCF">
        <w:t>Президента Российской Федерации.</w:t>
      </w:r>
    </w:p>
    <w:p w14:paraId="4F28DAE0" w14:textId="77777777" w:rsidR="007F2DCF" w:rsidRDefault="007F2DCF">
      <w:pPr>
        <w:spacing w:after="160"/>
      </w:pPr>
      <w:r>
        <w:br w:type="page"/>
      </w:r>
    </w:p>
    <w:p w14:paraId="7BB20298" w14:textId="2DE509DA" w:rsidR="007F2DCF" w:rsidRDefault="00C00349" w:rsidP="00AC5B3D">
      <w:pPr>
        <w:pStyle w:val="2"/>
      </w:pPr>
      <w:r>
        <w:lastRenderedPageBreak/>
        <w:t xml:space="preserve">Цель 2. </w:t>
      </w:r>
      <w:r w:rsidR="00422A1E" w:rsidRPr="00422A1E">
        <w:t xml:space="preserve">Кардинальное реформирование стратегии тарифного регулирования, в том числе принятие Федерального закона «Об основах государственного регулирования цен (тарифов) на товары (услуги)», а также разработка Стратегии </w:t>
      </w:r>
      <w:r w:rsidR="00422A1E" w:rsidRPr="00AC5B3D">
        <w:t>стимулирующего</w:t>
      </w:r>
      <w:r w:rsidR="00422A1E" w:rsidRPr="00422A1E">
        <w:t xml:space="preserve"> тарифного регулирования</w:t>
      </w:r>
    </w:p>
    <w:p w14:paraId="2E3E034C" w14:textId="7E4F5361" w:rsidR="00C00349" w:rsidRDefault="00C00349" w:rsidP="00C00349">
      <w:pPr>
        <w:pStyle w:val="3"/>
      </w:pPr>
      <w:r>
        <w:t>Задача 2.1. разработка закона «Об основах государственного регулирования цен (тарифов)»</w:t>
      </w:r>
    </w:p>
    <w:p w14:paraId="452F6271" w14:textId="1A0E3618" w:rsidR="00AF1638" w:rsidRPr="007F2DCF" w:rsidRDefault="00AF1638" w:rsidP="00AC5B3D">
      <w:pPr>
        <w:jc w:val="both"/>
        <w:rPr>
          <w:rFonts w:eastAsia="Times New Roman"/>
          <w:lang w:eastAsia="ru-RU"/>
        </w:rPr>
      </w:pPr>
      <w:r w:rsidRPr="007F2DCF">
        <w:t xml:space="preserve">ФАС России разработаны концепция законопроекта и план-график разработки законопроекта </w:t>
      </w:r>
      <w:r w:rsidRPr="007F2DCF">
        <w:rPr>
          <w:rFonts w:eastAsia="Times New Roman"/>
          <w:lang w:eastAsia="ru-RU"/>
        </w:rPr>
        <w:t xml:space="preserve">«Об основах государственного регулирования цен (тарифов)» </w:t>
      </w:r>
      <w:r w:rsidRPr="007F2DCF">
        <w:t xml:space="preserve">и направлены письмом от 15.05.2017 № СП/32463-ПР/17 в заинтересованные федеральные органы исполнительной власти (Министерство транспорта Российской Федерации, Министерство связи и массовых коммуникаций Российской Федерации, Министерство экономического развития Российской Федерации, Министерство строительства и жилищно-коммунального хозяйства Российской Федерации, Министерство энергетики Российской Федерации) для подготовки предложений и замечаний. </w:t>
      </w:r>
    </w:p>
    <w:p w14:paraId="5929FF97" w14:textId="43781F0B" w:rsidR="00AC5B3D" w:rsidRDefault="00AC5B3D" w:rsidP="00AC5B3D">
      <w:pPr>
        <w:pStyle w:val="af4"/>
        <w:jc w:val="left"/>
      </w:pPr>
      <w:r>
        <w:rPr>
          <w:lang w:val="en-US"/>
        </w:rPr>
        <w:t>UPD</w:t>
      </w:r>
      <w:r w:rsidRPr="00AC5B3D">
        <w:t xml:space="preserve">. </w:t>
      </w:r>
      <w:r w:rsidR="00AF1638" w:rsidRPr="00AF1638">
        <w:t>21</w:t>
      </w:r>
      <w:r w:rsidR="00AF1638">
        <w:t xml:space="preserve"> августа 2017</w:t>
      </w:r>
      <w:r w:rsidR="00AF1638" w:rsidRPr="00AF1638">
        <w:t xml:space="preserve"> в ФАС России проведено согласительное совещание по концепции законопроекта и плану-графику разработки законопроекта с участием заинтересованных федеральных органов исполнительной власти и представителями Экспертного совета при Правительстве Российской Федерации.</w:t>
      </w:r>
    </w:p>
    <w:p w14:paraId="32FB689D" w14:textId="77777777" w:rsidR="00AC5B3D" w:rsidRDefault="00AC5B3D">
      <w:pPr>
        <w:spacing w:after="160"/>
        <w:rPr>
          <w:rFonts w:asciiTheme="majorHAnsi" w:eastAsiaTheme="majorEastAsia" w:hAnsiTheme="majorHAnsi" w:cstheme="majorBidi"/>
          <w:caps/>
          <w:color w:val="2A6A71" w:themeColor="accent2" w:themeShade="BF"/>
          <w:spacing w:val="10"/>
          <w:sz w:val="28"/>
          <w:szCs w:val="28"/>
        </w:rPr>
      </w:pPr>
      <w:r>
        <w:br w:type="page"/>
      </w:r>
    </w:p>
    <w:p w14:paraId="27A2639C" w14:textId="444B96B7" w:rsidR="00A03A1D" w:rsidRPr="00AC5B3D" w:rsidRDefault="00C00349" w:rsidP="00AC5B3D">
      <w:pPr>
        <w:pStyle w:val="2"/>
        <w:rPr>
          <w:caps/>
          <w:color w:val="2A6A71" w:themeColor="accent2" w:themeShade="BF"/>
          <w:spacing w:val="10"/>
          <w:sz w:val="28"/>
          <w:szCs w:val="28"/>
        </w:rPr>
      </w:pPr>
      <w:r>
        <w:lastRenderedPageBreak/>
        <w:t xml:space="preserve">Цель 3. </w:t>
      </w:r>
      <w:r w:rsidR="00AC5B3D" w:rsidRPr="00AC5B3D">
        <w:t>Создание эффективных механизмов борьбы с ограничительными деловыми практиками транснациональных корпораций и нарушениями антимонопольного законодательства, носящих трансграничный характер</w:t>
      </w:r>
    </w:p>
    <w:p w14:paraId="78B9A114" w14:textId="0620B31E" w:rsidR="00477EE2" w:rsidRDefault="00C00349" w:rsidP="00C00349">
      <w:pPr>
        <w:pStyle w:val="3"/>
      </w:pPr>
      <w:r>
        <w:t>Задача 3.1. разработка международной конвенции «О борьбе с картелями»</w:t>
      </w:r>
    </w:p>
    <w:p w14:paraId="79C73067" w14:textId="32C633AF" w:rsidR="00AC5B3D" w:rsidRDefault="00AC5B3D" w:rsidP="00AC5B3D">
      <w:pPr>
        <w:jc w:val="both"/>
      </w:pPr>
      <w:r>
        <w:t>В целях создания эффективных механизмов борьбы с ограничительными деловыми практиками транснациональных корпораций и нарушениями антимонопольного законодательства, носящих трансграничный характер ФАС</w:t>
      </w:r>
      <w:r w:rsidRPr="00AC5B3D">
        <w:t xml:space="preserve"> </w:t>
      </w:r>
      <w:r>
        <w:t xml:space="preserve">России с участием МИД России, Минюста России, Минэкономразвития, МВД России, Следственного комитета Российской Федерации, Генеральной прокуратуры Российской Федерации, Института государства и права РАН, Института права и развития ВШЭ-Сколково, Академии Генеральной прокуратуры Российской Федерации был разработан проект конвенции «О борьбе с картелями». </w:t>
      </w:r>
    </w:p>
    <w:p w14:paraId="6998D055" w14:textId="77777777" w:rsidR="00AC5B3D" w:rsidRDefault="00AC5B3D" w:rsidP="00AC5B3D">
      <w:pPr>
        <w:pStyle w:val="af4"/>
        <w:jc w:val="left"/>
      </w:pPr>
      <w:r>
        <w:t>Конвенция в качестве международно-правового акта призвана определить принципы и основы взаимодействия государств-участников в борьбе с картелями на международном уровне.</w:t>
      </w:r>
    </w:p>
    <w:p w14:paraId="2E7C01E4" w14:textId="041BE03C" w:rsidR="00AC5B3D" w:rsidRDefault="00AC5B3D" w:rsidP="00AC5B3D">
      <w:pPr>
        <w:jc w:val="both"/>
      </w:pPr>
      <w:r>
        <w:t>На сегодняш</w:t>
      </w:r>
      <w:r>
        <w:t xml:space="preserve">ний день проект Конвенции концептуально </w:t>
      </w:r>
      <w:r>
        <w:t xml:space="preserve">одобрен представителями государств-участников </w:t>
      </w:r>
      <w:r>
        <w:t>Евразийского экономического союза (ЕАЭС). В</w:t>
      </w:r>
      <w:r>
        <w:t>едется работа по дальнейшему продвижению проекта Конвенции в рамках БРИКС и СНГ.</w:t>
      </w:r>
    </w:p>
    <w:p w14:paraId="6661523B" w14:textId="708C3C59" w:rsidR="00AC5B3D" w:rsidRDefault="00AC5B3D" w:rsidP="00AC5B3D">
      <w:pPr>
        <w:jc w:val="both"/>
      </w:pPr>
      <w:r>
        <w:t>Проект Конвенции по борьбе с картелями</w:t>
      </w:r>
      <w:r>
        <w:t xml:space="preserve"> также</w:t>
      </w:r>
      <w:r>
        <w:t xml:space="preserve"> обсуждался в рамках 46-го заседания Межгосударственного совета по антимонопольной политике (МСАП), который состоялся 17 марта 2017 года в г. Кишинев (Молдова). В рамках данного заседания МСАП было принято решение об одобрении в целом проекта Конвенции о борьбе с картелями в качестве базового проекта для дальнейшего продвижения на международных площадках в виде совместной инициативы государств-участников СНГ.</w:t>
      </w:r>
    </w:p>
    <w:p w14:paraId="3E9C896F" w14:textId="041150E6" w:rsidR="00AC5B3D" w:rsidRDefault="00AC5B3D" w:rsidP="00AC5B3D">
      <w:pPr>
        <w:jc w:val="both"/>
      </w:pPr>
      <w:r>
        <w:t xml:space="preserve">Кроме того, в рамках заседания было принято решение Просить Исполнительный комитет СНГ оказать содействие Межгосударственному совету по антимонопольной политике в подготовке необходимых проектов документов, направленных на консолидацию усилий мирового сообщества для эффективной борьбы с международными картелями, и их дальнейшего рассмотрения в установленном порядке. В настоящее время разрабатывается </w:t>
      </w:r>
      <w:r>
        <w:lastRenderedPageBreak/>
        <w:t xml:space="preserve">проект Заявления государств - участников Содружества Независимых Государств о консолидации усилий мирового сообщества для </w:t>
      </w:r>
      <w:r>
        <w:t>эффективной борьбы с картелями.</w:t>
      </w:r>
    </w:p>
    <w:p w14:paraId="2C17A74C" w14:textId="3DB07E8D" w:rsidR="00AC5B3D" w:rsidRDefault="00C00349" w:rsidP="00C00349">
      <w:pPr>
        <w:pStyle w:val="3"/>
      </w:pPr>
      <w:r>
        <w:t xml:space="preserve">Задача 3.2. </w:t>
      </w:r>
      <w:r w:rsidR="00AC5B3D" w:rsidRPr="00C00349">
        <w:t>Разработка</w:t>
      </w:r>
      <w:r w:rsidR="00AC5B3D">
        <w:t xml:space="preserve"> и продвижение проекта Инструментария по </w:t>
      </w:r>
      <w:r w:rsidR="00AC5B3D" w:rsidRPr="00C00349">
        <w:t>международному сотрудничеству конкурентных ведомств по противодействию ограничительным деловым практикам крупных Транснациональных компаний</w:t>
      </w:r>
    </w:p>
    <w:p w14:paraId="2279CCF4" w14:textId="77777777" w:rsidR="00AC5B3D" w:rsidRDefault="00AC5B3D" w:rsidP="00AC5B3D">
      <w:pPr>
        <w:jc w:val="both"/>
      </w:pPr>
      <w:r>
        <w:t xml:space="preserve">Инициатива по разработке Инструментария по международному сотрудничеству конкурентных ведомств по противодействию ограничительным деловым практикам крупных ТНК обождалась на площадках ЕАЭС, СНГ и БРИКС, а также в двустороннем формате с руководством зарубежных конкурентных ведомств. </w:t>
      </w:r>
    </w:p>
    <w:p w14:paraId="35B864EA" w14:textId="77777777" w:rsidR="00AC5B3D" w:rsidRDefault="00AC5B3D" w:rsidP="00AC5B3D">
      <w:pPr>
        <w:jc w:val="both"/>
      </w:pPr>
      <w:r>
        <w:t xml:space="preserve">В частности, в формате СНГ в рамках 46-го заседания МСАП было отмечено, что антиконкурентные практики транснациональных корпораций, в частности картели, наносят существенный вред экономикам государств и благосостоянию граждан, в частности государств-участников СНГ. Участники заседания признали важность разработки инструментов, направленных на развитие сотрудничества антимонопольных органов при правоприменении в отношении транснациональных корпораций и трансграничных нарушений, в частности Инструментария. </w:t>
      </w:r>
    </w:p>
    <w:p w14:paraId="7E04284A" w14:textId="5A554FB6" w:rsidR="00AC5B3D" w:rsidRDefault="00AC5B3D" w:rsidP="0022202E">
      <w:pPr>
        <w:pStyle w:val="af4"/>
        <w:jc w:val="left"/>
      </w:pPr>
      <w:r>
        <w:t xml:space="preserve">Представители руководства антимонопольных органов государств-участников СНГ приняли решение совместно доработать проекты инициативы ФАС России, а также поддержать данные инициативы при вынесении их на обсуждение на глобальных площадках, в частности, Конференции ООН по торговле и развитию (ЮНКТАД). </w:t>
      </w:r>
    </w:p>
    <w:p w14:paraId="008AA36F" w14:textId="77777777" w:rsidR="00AC5B3D" w:rsidRDefault="00AC5B3D" w:rsidP="00AC5B3D">
      <w:pPr>
        <w:jc w:val="both"/>
      </w:pPr>
      <w:r>
        <w:t>Кроме того, вопросы необходимости противодействия недобросовестным практикам крупных ТНК и разработки проекта Инструментария обсуждались в рамках 2-го установочного совещания представителей конкурентных ведомств стран БРИКС, которое состоялось 17 мая 2017 года в Санкт-Петербурге. Присутствовавшие представители конкурентных ведомств БРИКС выразили готовность поддержать инициативы ФАС России.</w:t>
      </w:r>
    </w:p>
    <w:p w14:paraId="61AC993C" w14:textId="77777777" w:rsidR="00AC5B3D" w:rsidRDefault="00AC5B3D" w:rsidP="00AC5B3D">
      <w:pPr>
        <w:jc w:val="both"/>
      </w:pPr>
      <w:r>
        <w:t xml:space="preserve">В двустороннем формате инициативы обсуждались с руководством конкурентных ведомств Австрии, Беларуси, Бразилии, Казахстана, Коста-Рики, КНР, ЮАР. В рамках проведенной работы руководители всех упомянутых ведомств высказывались о </w:t>
      </w:r>
      <w:r>
        <w:lastRenderedPageBreak/>
        <w:t>необходимости создания эффективных механизмов противодействия ограничительным деловым практикам.</w:t>
      </w:r>
    </w:p>
    <w:p w14:paraId="4037B51A" w14:textId="0D304D49" w:rsidR="0022202E" w:rsidRDefault="00AC5B3D" w:rsidP="0022202E">
      <w:pPr>
        <w:pStyle w:val="af4"/>
        <w:jc w:val="left"/>
      </w:pPr>
      <w:r>
        <w:t xml:space="preserve">Инициатива разработки Инструментария по международному сотрудничеству конкурентных ведомств по противодействию ограничительным деловым практикам крупных ТНК была представлена международному сообществу 6 июля 2017 года в г. Женева (Швейцария) в рамках 16-й сессии Межправительственной группы экспертов (МГЭ) по политике и законодательству в области конкуренции Конференции ООН </w:t>
      </w:r>
      <w:r w:rsidR="0022202E">
        <w:t>по торговле и развитию (ЮНКТАД).</w:t>
      </w:r>
    </w:p>
    <w:p w14:paraId="2CAAFA1A" w14:textId="77777777" w:rsidR="0022202E" w:rsidRDefault="0022202E" w:rsidP="00AC5B3D">
      <w:pPr>
        <w:jc w:val="both"/>
      </w:pPr>
      <w:r>
        <w:t>В</w:t>
      </w:r>
      <w:r w:rsidR="00AC5B3D">
        <w:t>опрос был внесен в повестку МГЭ ЮНКТАД по инициативе ФАС России в октябре 2016 года. Ключевым спикером на данном мероприятии стал руководи</w:t>
      </w:r>
      <w:r>
        <w:t>тель ФАС России Игорь Артемьев.</w:t>
      </w:r>
    </w:p>
    <w:p w14:paraId="04D74482" w14:textId="77777777" w:rsidR="0022202E" w:rsidRDefault="00AC5B3D" w:rsidP="00AC5B3D">
      <w:pPr>
        <w:jc w:val="both"/>
      </w:pPr>
      <w:r>
        <w:t xml:space="preserve">В рамках своего выступления Игорь Артемьев отметил, что существующих инструментов сотрудничества конкурентных ведомств </w:t>
      </w:r>
      <w:r w:rsidR="0022202E">
        <w:t>недостаточно</w:t>
      </w:r>
      <w:r>
        <w:t xml:space="preserve"> для противодействия глобальным нарушениям. Мировое конкурентное сообщество в последнее время сталкивается с ситуацией, когда расследования против определенных глобальных компаний открыты по всему миру, однако конкурентные ведомства не способны осуществл</w:t>
      </w:r>
      <w:r w:rsidR="0022202E">
        <w:t>ять эффективное сотрудничество.</w:t>
      </w:r>
    </w:p>
    <w:p w14:paraId="1CE4071B" w14:textId="77777777" w:rsidR="0022202E" w:rsidRDefault="00AC5B3D" w:rsidP="00AC5B3D">
      <w:pPr>
        <w:jc w:val="both"/>
      </w:pPr>
      <w:r>
        <w:t>В данном контексте ФАС России полагает, что на глобальной площадке, которой является ЮНКТАД, должен быть принят международный Инструментарий по международному сотрудничеству конкурентных ведомств по противодействию ограничительным</w:t>
      </w:r>
      <w:r w:rsidR="0022202E">
        <w:t xml:space="preserve"> деловым практикам крупных ТНК.</w:t>
      </w:r>
    </w:p>
    <w:p w14:paraId="543B697B" w14:textId="43B8A022" w:rsidR="0022202E" w:rsidRDefault="00AC5B3D" w:rsidP="00AC5B3D">
      <w:pPr>
        <w:jc w:val="both"/>
      </w:pPr>
      <w:r>
        <w:t>Проект Инструментария уже подготовлен ФАС России и доступен для публичного обсуждения.  В целях проработки текста Инструментария И.Ю. Артемьев предложил создать специальную группу на площадке ЮНКТАД, куда могут войт</w:t>
      </w:r>
      <w:r w:rsidR="0022202E">
        <w:t>и все заинтересованные стороны.</w:t>
      </w:r>
    </w:p>
    <w:p w14:paraId="3B990A9B" w14:textId="77777777" w:rsidR="0022202E" w:rsidRDefault="00AC5B3D" w:rsidP="00AC5B3D">
      <w:pPr>
        <w:jc w:val="both"/>
      </w:pPr>
      <w:r>
        <w:t>Инструментарий может стать приложением к Секции F («Международные меры») Комплекса ООН согласованных на многосторонней основе справедливых принципов и правил контроля за ограничительными деловыми практиками и быть принят в рамках Конференции по пер</w:t>
      </w:r>
      <w:r w:rsidR="0022202E">
        <w:t>есмотру Комплекса в 2020 году.</w:t>
      </w:r>
    </w:p>
    <w:p w14:paraId="1E5316C6" w14:textId="77777777" w:rsidR="0022202E" w:rsidRDefault="00AC5B3D" w:rsidP="00AC5B3D">
      <w:pPr>
        <w:jc w:val="both"/>
      </w:pPr>
      <w:r>
        <w:lastRenderedPageBreak/>
        <w:t>В рамках интерактивного обсуждения представители конкурентных ведомств Бразилии, ЮАР, Австрии, Беларуси, Казахстана, Аргентины, Мексики, Киргизии, Армении, США и Италии, а также Евразийской экономической комиссии (ЕЭК) выразили поддержку инициативе ФАС России. Кроме того, поддержку данному проекту и готовность внести вклад в доработку Инструментария высказал г-н Фредерик Женни, председатель Комитета по конкуренции Организации экономического сот</w:t>
      </w:r>
      <w:r w:rsidR="0022202E">
        <w:t xml:space="preserve">рудничества и развития (ОЭСР). </w:t>
      </w:r>
    </w:p>
    <w:p w14:paraId="636A1114" w14:textId="77777777" w:rsidR="0022202E" w:rsidRDefault="00AC5B3D" w:rsidP="0022202E">
      <w:pPr>
        <w:pStyle w:val="af4"/>
        <w:jc w:val="left"/>
      </w:pPr>
      <w:r>
        <w:t xml:space="preserve">7 июля 2017 года в рамках закрытия 16-й сессии МГЭ ЮНКТАД было принято решение о создании дискуссионной группы на базе ЮНКТАД по обсуждению аспектов международного сотрудничества конкурентных ведомств в целях усиления Секции F Комплекса согласованных на многосторонней основе справедливых принципов и правил контроля за ограничительными деловыми практиками (Комплекс по конкуренции ООН). В состав дискуссионной группы войдут представители всех заинтересованных стран на добровольной основе в целях обсуждения текста Инструментария и выработки единого </w:t>
      </w:r>
      <w:r w:rsidR="0022202E">
        <w:t>документа на основе консенсуса.</w:t>
      </w:r>
    </w:p>
    <w:p w14:paraId="4B423AE9" w14:textId="4530278C" w:rsidR="00AC5B3D" w:rsidRDefault="00AC5B3D" w:rsidP="00AC5B3D">
      <w:pPr>
        <w:jc w:val="both"/>
      </w:pPr>
      <w:r>
        <w:t>Отчет о деятельности дискуссионной группы будет заслушан в рамках 17-й сессии МГЭ ЮКНТАД, которая пройдет в июле 2018 года в г. Женева (Швейцария).</w:t>
      </w:r>
      <w:r>
        <w:t xml:space="preserve"> </w:t>
      </w:r>
    </w:p>
    <w:p w14:paraId="7C4D48C8" w14:textId="77777777" w:rsidR="00AC5B3D" w:rsidRDefault="00AC5B3D">
      <w:pPr>
        <w:spacing w:after="160"/>
      </w:pPr>
      <w:r>
        <w:br w:type="page"/>
      </w:r>
    </w:p>
    <w:p w14:paraId="1EA04C5C" w14:textId="1EB904A8" w:rsidR="00AC5B3D" w:rsidRDefault="00C00349" w:rsidP="00C00349">
      <w:pPr>
        <w:pStyle w:val="2"/>
      </w:pPr>
      <w:r>
        <w:lastRenderedPageBreak/>
        <w:t xml:space="preserve">Цель 4. </w:t>
      </w:r>
      <w:r w:rsidR="00AC5B3D" w:rsidRPr="00AC5B3D">
        <w:t>Принятие планов мероприятий («дорожных карт»): «Развитие конкуренции в здравоохранении» и «Развитие конкуренции на рынке финансовых услуг» (совместно с Банком России) и утверждение планов развития конкуренции («дорожных карт») в соответствующих отраслях на 2017-2018 годы</w:t>
      </w:r>
    </w:p>
    <w:p w14:paraId="6EA58226" w14:textId="3344EF12" w:rsidR="00C00349" w:rsidRDefault="00C00349" w:rsidP="00C00349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задача 4.1. план мероприятий «дорожная карта» «Развитие конкуренции на рынке финансовых услуг»</w:t>
      </w:r>
    </w:p>
    <w:p w14:paraId="648C931B" w14:textId="592D8277" w:rsidR="00AC5B3D" w:rsidRDefault="00AC5B3D" w:rsidP="00AC5B3D">
      <w:pPr>
        <w:jc w:val="both"/>
        <w:rPr>
          <w:rFonts w:eastAsia="Times New Roman"/>
          <w:lang w:eastAsia="ru-RU"/>
        </w:rPr>
      </w:pPr>
      <w:r w:rsidRPr="007F2DCF">
        <w:rPr>
          <w:rFonts w:eastAsia="Times New Roman"/>
          <w:lang w:eastAsia="ru-RU"/>
        </w:rPr>
        <w:t>Принят и согласован с Банком России приказ ФАС России от 10.05.2017 № 612/17 «Об утверждении Плана мероприятий («дорожной карты») «Развитие конкуренции на рынке финансовых услуг».</w:t>
      </w:r>
    </w:p>
    <w:p w14:paraId="41F2EC5E" w14:textId="62F33DF6" w:rsidR="00B851A8" w:rsidRDefault="00B851A8" w:rsidP="00AC5B3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Полный текст приказа и плана мероприятий </w:t>
      </w:r>
      <w:hyperlink r:id="rId8" w:history="1">
        <w:r w:rsidRPr="00B851A8">
          <w:rPr>
            <w:rStyle w:val="afc"/>
            <w:rFonts w:eastAsia="Times New Roman"/>
            <w:lang w:eastAsia="ru-RU"/>
          </w:rPr>
          <w:t>на официальном сайте ФАС России</w:t>
        </w:r>
      </w:hyperlink>
      <w:r>
        <w:rPr>
          <w:rFonts w:eastAsia="Times New Roman"/>
          <w:lang w:eastAsia="ru-RU"/>
        </w:rPr>
        <w:t>.</w:t>
      </w:r>
    </w:p>
    <w:p w14:paraId="44CC930C" w14:textId="73FA03A1" w:rsidR="00C00349" w:rsidRDefault="00C00349" w:rsidP="00AC5B3D">
      <w:pPr>
        <w:jc w:val="both"/>
      </w:pPr>
      <w:r>
        <w:rPr>
          <w:rStyle w:val="30"/>
        </w:rPr>
        <w:t xml:space="preserve">Задача 4.2. </w:t>
      </w:r>
      <w:r w:rsidR="00AC5B3D" w:rsidRPr="00C00349">
        <w:rPr>
          <w:rStyle w:val="30"/>
        </w:rPr>
        <w:t>План мероприятий («дорожная карта») «Развитие конкуренции в здравоохранении»</w:t>
      </w:r>
    </w:p>
    <w:p w14:paraId="48A44CA5" w14:textId="6F512EAD" w:rsidR="00AC5B3D" w:rsidRDefault="00B851A8" w:rsidP="00AC5B3D">
      <w:pPr>
        <w:jc w:val="both"/>
      </w:pPr>
      <w:r>
        <w:t xml:space="preserve">Документ разработан </w:t>
      </w:r>
      <w:r w:rsidR="00AC5B3D" w:rsidRPr="007F2DCF">
        <w:t xml:space="preserve">с учетом предложений федеральных органов исполнительной власти, хозяйствующих субъектов и общественных организаций в сфере </w:t>
      </w:r>
      <w:r w:rsidR="00213565">
        <w:t xml:space="preserve">здравоохранения, он </w:t>
      </w:r>
      <w:r w:rsidR="00AC5B3D" w:rsidRPr="007F2DCF">
        <w:t xml:space="preserve">предусматривает комплекс мер по демонополизации рынков медицинских услуг, лекарственных препаратов, медицинских изделий и технического обслуживания медицинских изделий. Проект «дорожной карты» </w:t>
      </w:r>
      <w:r w:rsidR="00213565">
        <w:t>20 января 2017 года</w:t>
      </w:r>
      <w:r w:rsidR="00AC5B3D" w:rsidRPr="007F2DCF">
        <w:t xml:space="preserve"> </w:t>
      </w:r>
      <w:r w:rsidR="00213565">
        <w:t>одобрен</w:t>
      </w:r>
      <w:r w:rsidR="00AC5B3D" w:rsidRPr="007F2DCF">
        <w:t xml:space="preserve"> Президиумом ФАС</w:t>
      </w:r>
      <w:r w:rsidR="00213565">
        <w:t xml:space="preserve"> России</w:t>
      </w:r>
      <w:r w:rsidR="00AC5B3D" w:rsidRPr="007F2DCF">
        <w:t xml:space="preserve">. Письмом ФАС России от </w:t>
      </w:r>
      <w:r w:rsidR="00213565">
        <w:t>20 января 2017 года</w:t>
      </w:r>
      <w:r w:rsidR="00AC5B3D" w:rsidRPr="007F2DCF">
        <w:t xml:space="preserve"> № ИА/2835-ПР/17 проект «дорожной карты» внесен в Правительство Российской Федерации для утверждения. В настоящий момент находится в состоянии доработки.</w:t>
      </w:r>
    </w:p>
    <w:p w14:paraId="1F6360F0" w14:textId="77777777" w:rsidR="00422A1E" w:rsidRPr="00422A1E" w:rsidRDefault="00422A1E" w:rsidP="00AC5B3D"/>
    <w:p w14:paraId="6B95B54D" w14:textId="77777777" w:rsidR="003237C5" w:rsidRPr="007B0DBA" w:rsidRDefault="003237C5" w:rsidP="007F2DCF"/>
    <w:sectPr w:rsidR="003237C5" w:rsidRPr="007B0DBA" w:rsidSect="007F2DC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BD65D" w14:textId="77777777" w:rsidR="00C86B27" w:rsidRDefault="00C86B27" w:rsidP="007F2DCF">
      <w:r>
        <w:separator/>
      </w:r>
    </w:p>
  </w:endnote>
  <w:endnote w:type="continuationSeparator" w:id="0">
    <w:p w14:paraId="4C3A205E" w14:textId="77777777" w:rsidR="00C86B27" w:rsidRDefault="00C86B27" w:rsidP="007F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882406149"/>
      <w:docPartObj>
        <w:docPartGallery w:val="Page Numbers (Bottom of Page)"/>
        <w:docPartUnique/>
      </w:docPartObj>
    </w:sdtPr>
    <w:sdtEndPr/>
    <w:sdtContent>
      <w:p w14:paraId="12C9F740" w14:textId="08A123C1" w:rsidR="007B0DBA" w:rsidRPr="00B851A8" w:rsidRDefault="007B0DBA" w:rsidP="00B851A8">
        <w:pPr>
          <w:pStyle w:val="aa"/>
          <w:jc w:val="right"/>
          <w:rPr>
            <w:sz w:val="20"/>
          </w:rPr>
        </w:pPr>
        <w:r w:rsidRPr="00B851A8">
          <w:rPr>
            <w:sz w:val="22"/>
          </w:rPr>
          <w:fldChar w:fldCharType="begin"/>
        </w:r>
        <w:r w:rsidRPr="00B851A8">
          <w:rPr>
            <w:sz w:val="22"/>
          </w:rPr>
          <w:instrText>PAGE   \* MERGEFORMAT</w:instrText>
        </w:r>
        <w:r w:rsidRPr="00B851A8">
          <w:rPr>
            <w:sz w:val="22"/>
          </w:rPr>
          <w:fldChar w:fldCharType="separate"/>
        </w:r>
        <w:r w:rsidR="000C0C83">
          <w:rPr>
            <w:noProof/>
            <w:sz w:val="22"/>
          </w:rPr>
          <w:t>2</w:t>
        </w:r>
        <w:r w:rsidRPr="00B851A8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DEB8" w14:textId="77777777" w:rsidR="00C86B27" w:rsidRDefault="00C86B27" w:rsidP="007F2DCF">
      <w:r>
        <w:separator/>
      </w:r>
    </w:p>
  </w:footnote>
  <w:footnote w:type="continuationSeparator" w:id="0">
    <w:p w14:paraId="1722BA7F" w14:textId="77777777" w:rsidR="00C86B27" w:rsidRDefault="00C86B27" w:rsidP="007F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4CED"/>
    <w:multiLevelType w:val="hybridMultilevel"/>
    <w:tmpl w:val="CFCC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NTEwszA0NTeysDRW0lEKTi0uzszPAykwqgUAquXvECwAAAA="/>
  </w:docVars>
  <w:rsids>
    <w:rsidRoot w:val="00DC1024"/>
    <w:rsid w:val="000111B8"/>
    <w:rsid w:val="000C0C83"/>
    <w:rsid w:val="000E5AB6"/>
    <w:rsid w:val="00213565"/>
    <w:rsid w:val="0022202E"/>
    <w:rsid w:val="00266AFA"/>
    <w:rsid w:val="003237C5"/>
    <w:rsid w:val="00331D5E"/>
    <w:rsid w:val="00386156"/>
    <w:rsid w:val="00404101"/>
    <w:rsid w:val="00416841"/>
    <w:rsid w:val="00422A1E"/>
    <w:rsid w:val="0045306B"/>
    <w:rsid w:val="00456569"/>
    <w:rsid w:val="00477EE2"/>
    <w:rsid w:val="004C595F"/>
    <w:rsid w:val="004F13E0"/>
    <w:rsid w:val="00532275"/>
    <w:rsid w:val="00737A64"/>
    <w:rsid w:val="00783C77"/>
    <w:rsid w:val="007943FA"/>
    <w:rsid w:val="007965F0"/>
    <w:rsid w:val="007B0DBA"/>
    <w:rsid w:val="007F2530"/>
    <w:rsid w:val="007F2DCF"/>
    <w:rsid w:val="008A05B4"/>
    <w:rsid w:val="008A05F6"/>
    <w:rsid w:val="009012B4"/>
    <w:rsid w:val="00922CA6"/>
    <w:rsid w:val="00992D88"/>
    <w:rsid w:val="00A03A1D"/>
    <w:rsid w:val="00A425A7"/>
    <w:rsid w:val="00A77E30"/>
    <w:rsid w:val="00AC5B3D"/>
    <w:rsid w:val="00AF1638"/>
    <w:rsid w:val="00B24695"/>
    <w:rsid w:val="00B851A8"/>
    <w:rsid w:val="00C00349"/>
    <w:rsid w:val="00C86B27"/>
    <w:rsid w:val="00D810BB"/>
    <w:rsid w:val="00DC1024"/>
    <w:rsid w:val="00E331C0"/>
    <w:rsid w:val="00E46805"/>
    <w:rsid w:val="00EC4BD1"/>
    <w:rsid w:val="00ED7023"/>
    <w:rsid w:val="00EF452C"/>
    <w:rsid w:val="00F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9C5B7BB"/>
  <w15:chartTrackingRefBased/>
  <w15:docId w15:val="{D81510ED-7D86-4574-B74F-4C496EB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DCF"/>
    <w:pPr>
      <w:spacing w:after="120"/>
    </w:pPr>
    <w:rPr>
      <w:rFonts w:cstheme="minorHAns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023"/>
    <w:pPr>
      <w:keepNext/>
      <w:keepLines/>
      <w:pBdr>
        <w:left w:val="single" w:sz="12" w:space="12" w:color="398F98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5B3D"/>
    <w:pPr>
      <w:keepNext/>
      <w:keepLines/>
      <w:spacing w:before="120" w:after="24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0349"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D702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02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02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02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02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02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E3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7E3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0DBA"/>
  </w:style>
  <w:style w:type="paragraph" w:styleId="aa">
    <w:name w:val="footer"/>
    <w:basedOn w:val="a"/>
    <w:link w:val="ab"/>
    <w:uiPriority w:val="99"/>
    <w:unhideWhenUsed/>
    <w:rsid w:val="007B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DBA"/>
  </w:style>
  <w:style w:type="character" w:customStyle="1" w:styleId="10">
    <w:name w:val="Заголовок 1 Знак"/>
    <w:basedOn w:val="a0"/>
    <w:link w:val="1"/>
    <w:uiPriority w:val="9"/>
    <w:rsid w:val="00ED702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5B3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034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D702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023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D702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D702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023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ED7023"/>
    <w:rPr>
      <w:rFonts w:asciiTheme="majorHAnsi" w:eastAsiaTheme="majorEastAsia" w:hAnsiTheme="majorHAnsi" w:cstheme="majorBidi"/>
      <w:i/>
      <w:iCs/>
      <w:caps/>
    </w:rPr>
  </w:style>
  <w:style w:type="paragraph" w:styleId="ac">
    <w:name w:val="caption"/>
    <w:basedOn w:val="a"/>
    <w:next w:val="a"/>
    <w:uiPriority w:val="35"/>
    <w:semiHidden/>
    <w:unhideWhenUsed/>
    <w:qFormat/>
    <w:rsid w:val="00ED7023"/>
    <w:pPr>
      <w:spacing w:line="240" w:lineRule="auto"/>
    </w:pPr>
    <w:rPr>
      <w:b/>
      <w:bCs/>
      <w:color w:val="398F98" w:themeColor="accent2"/>
      <w:spacing w:val="10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ED70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e">
    <w:name w:val="Заголовок Знак"/>
    <w:basedOn w:val="a0"/>
    <w:link w:val="ad"/>
    <w:uiPriority w:val="10"/>
    <w:rsid w:val="00ED702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">
    <w:name w:val="Subtitle"/>
    <w:basedOn w:val="a"/>
    <w:next w:val="a"/>
    <w:link w:val="af0"/>
    <w:uiPriority w:val="11"/>
    <w:qFormat/>
    <w:rsid w:val="00ED7023"/>
    <w:pPr>
      <w:numPr>
        <w:ilvl w:val="1"/>
      </w:numPr>
      <w:spacing w:after="240"/>
    </w:pPr>
    <w:rPr>
      <w:color w:val="000000" w:themeColor="text1"/>
    </w:rPr>
  </w:style>
  <w:style w:type="character" w:customStyle="1" w:styleId="af0">
    <w:name w:val="Подзаголовок Знак"/>
    <w:basedOn w:val="a0"/>
    <w:link w:val="af"/>
    <w:uiPriority w:val="11"/>
    <w:rsid w:val="00ED7023"/>
    <w:rPr>
      <w:color w:val="000000" w:themeColor="text1"/>
      <w:sz w:val="24"/>
      <w:szCs w:val="24"/>
    </w:rPr>
  </w:style>
  <w:style w:type="character" w:styleId="af1">
    <w:name w:val="Strong"/>
    <w:basedOn w:val="a0"/>
    <w:uiPriority w:val="22"/>
    <w:qFormat/>
    <w:rsid w:val="00ED702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2">
    <w:name w:val="Emphasis"/>
    <w:basedOn w:val="a0"/>
    <w:uiPriority w:val="20"/>
    <w:qFormat/>
    <w:rsid w:val="00ED7023"/>
    <w:rPr>
      <w:rFonts w:asciiTheme="minorHAnsi" w:eastAsiaTheme="minorEastAsia" w:hAnsiTheme="minorHAnsi" w:cstheme="minorBidi"/>
      <w:i/>
      <w:iCs/>
      <w:color w:val="2A6A71" w:themeColor="accent2" w:themeShade="BF"/>
      <w:sz w:val="20"/>
      <w:szCs w:val="20"/>
    </w:rPr>
  </w:style>
  <w:style w:type="paragraph" w:styleId="af3">
    <w:name w:val="No Spacing"/>
    <w:uiPriority w:val="1"/>
    <w:qFormat/>
    <w:rsid w:val="00ED70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D7023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sid w:val="00ED7023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ED702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2A6A71" w:themeColor="accent2" w:themeShade="BF"/>
      <w:spacing w:val="10"/>
      <w:sz w:val="28"/>
      <w:szCs w:val="28"/>
    </w:rPr>
  </w:style>
  <w:style w:type="character" w:customStyle="1" w:styleId="af5">
    <w:name w:val="Выделенная цитата Знак"/>
    <w:basedOn w:val="a0"/>
    <w:link w:val="af4"/>
    <w:uiPriority w:val="30"/>
    <w:rsid w:val="00ED7023"/>
    <w:rPr>
      <w:rFonts w:asciiTheme="majorHAnsi" w:eastAsiaTheme="majorEastAsia" w:hAnsiTheme="majorHAnsi" w:cstheme="majorBidi"/>
      <w:caps/>
      <w:color w:val="2A6A71" w:themeColor="accent2" w:themeShade="BF"/>
      <w:spacing w:val="10"/>
      <w:sz w:val="28"/>
      <w:szCs w:val="28"/>
    </w:rPr>
  </w:style>
  <w:style w:type="character" w:styleId="af6">
    <w:name w:val="Subtle Emphasis"/>
    <w:basedOn w:val="a0"/>
    <w:uiPriority w:val="19"/>
    <w:qFormat/>
    <w:rsid w:val="00ED7023"/>
    <w:rPr>
      <w:i/>
      <w:iCs/>
      <w:color w:val="auto"/>
    </w:rPr>
  </w:style>
  <w:style w:type="character" w:styleId="af7">
    <w:name w:val="Intense Emphasis"/>
    <w:basedOn w:val="a0"/>
    <w:uiPriority w:val="21"/>
    <w:qFormat/>
    <w:rsid w:val="00ED7023"/>
    <w:rPr>
      <w:rFonts w:asciiTheme="minorHAnsi" w:eastAsiaTheme="minorEastAsia" w:hAnsiTheme="minorHAnsi" w:cstheme="minorBidi"/>
      <w:b/>
      <w:bCs/>
      <w:i/>
      <w:iCs/>
      <w:color w:val="2A6A71" w:themeColor="accent2" w:themeShade="BF"/>
      <w:spacing w:val="0"/>
      <w:w w:val="100"/>
      <w:position w:val="0"/>
      <w:sz w:val="20"/>
      <w:szCs w:val="20"/>
    </w:rPr>
  </w:style>
  <w:style w:type="character" w:styleId="af8">
    <w:name w:val="Subtle Reference"/>
    <w:basedOn w:val="a0"/>
    <w:uiPriority w:val="31"/>
    <w:qFormat/>
    <w:rsid w:val="00ED702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ED702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a">
    <w:name w:val="Book Title"/>
    <w:basedOn w:val="a0"/>
    <w:uiPriority w:val="33"/>
    <w:qFormat/>
    <w:rsid w:val="00ED702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ED7023"/>
    <w:pPr>
      <w:outlineLvl w:val="9"/>
    </w:pPr>
  </w:style>
  <w:style w:type="character" w:styleId="afc">
    <w:name w:val="Hyperlink"/>
    <w:basedOn w:val="a0"/>
    <w:uiPriority w:val="99"/>
    <w:unhideWhenUsed/>
    <w:rsid w:val="00B851A8"/>
    <w:rPr>
      <w:color w:val="3C4647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B85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documents/documentdetails.html?id=152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ФАС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266F8B"/>
      </a:accent1>
      <a:accent2>
        <a:srgbClr val="398F98"/>
      </a:accent2>
      <a:accent3>
        <a:srgbClr val="4A9B82"/>
      </a:accent3>
      <a:accent4>
        <a:srgbClr val="7A8C8E"/>
      </a:accent4>
      <a:accent5>
        <a:srgbClr val="84ACB6"/>
      </a:accent5>
      <a:accent6>
        <a:srgbClr val="316757"/>
      </a:accent6>
      <a:hlink>
        <a:srgbClr val="3C4647"/>
      </a:hlink>
      <a:folHlink>
        <a:srgbClr val="3A5A6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2AFA-0A19-4402-A988-EF9FDCD2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Верколаб Виолетта Вадимовна</dc:creator>
  <cp:keywords/>
  <dc:description/>
  <cp:lastModifiedBy>Бугров П.М.</cp:lastModifiedBy>
  <cp:revision>9</cp:revision>
  <cp:lastPrinted>2017-08-29T13:08:00Z</cp:lastPrinted>
  <dcterms:created xsi:type="dcterms:W3CDTF">2017-08-30T07:58:00Z</dcterms:created>
  <dcterms:modified xsi:type="dcterms:W3CDTF">2017-08-30T12:47:00Z</dcterms:modified>
</cp:coreProperties>
</file>