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ПАО «Сбербанк России» по признакам нарушения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банка существенные условия вклада были указаны трудным для восприятия шрифтом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гражданина на рекламу «Сбербанка», которая распространялась в эфире телеканала «Петербург - 5 канал». В ней крупным шрифтом указывалась привлекательная для потребителя информация о процентной ставке по вкладу 16% годовых.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данные об иных условиях, таких как минимальная сумма и срок для открытия вклада, а также ограничения использования средств с закрытых ранее вкладов, размещались в поясняющей сноске трудным для восприятия шрифтом. Кроме того, в сноске было указано, что такие условия действуют только для зарплатных клиентов, которые подключили одну из платных услуг банка.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обо всех условиях, определяющих сумму доходов вкладчиков.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ПАО «Сбербанк России» по признакам нарушения Закона о рекламе.* В случае установления нарушения банк будет привлечен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феврале 2024 года ФАС России возбудила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в отношении банка за ненадлежащую рекламу другого вклада.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*Часть 7 статьи 5, пункт 2 части 2 статьи 28 Федерального закона "О рекламе" от 13.03.2006 N 38-ФЗ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