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5F" w:rsidRDefault="0056175F">
      <w:pPr>
        <w:pStyle w:val="Textbody"/>
        <w:jc w:val="center"/>
      </w:pPr>
    </w:p>
    <w:p w:rsidR="0056175F" w:rsidRDefault="0056175F">
      <w:pPr>
        <w:pStyle w:val="Textbody"/>
        <w:jc w:val="center"/>
      </w:pPr>
    </w:p>
    <w:p w:rsidR="0056175F" w:rsidRDefault="0056175F">
      <w:pPr>
        <w:pStyle w:val="Textbody"/>
        <w:jc w:val="center"/>
      </w:pPr>
    </w:p>
    <w:p w:rsidR="0056175F" w:rsidRDefault="00357B47">
      <w:pPr>
        <w:pStyle w:val="Textbody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2661836</wp:posOffset>
            </wp:positionH>
            <wp:positionV relativeFrom="paragraph">
              <wp:posOffset>-482044</wp:posOffset>
            </wp:positionV>
            <wp:extent cx="981718" cy="725759"/>
            <wp:effectExtent l="0" t="0" r="8882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8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6175F" w:rsidRDefault="00357B47">
      <w:pPr>
        <w:pStyle w:val="Textbody"/>
        <w:jc w:val="center"/>
      </w:pPr>
      <w:r>
        <w:rPr>
          <w:b/>
          <w:sz w:val="32"/>
          <w:szCs w:val="32"/>
        </w:rPr>
        <w:t xml:space="preserve"> Ф</w:t>
      </w:r>
      <w:r>
        <w:rPr>
          <w:sz w:val="32"/>
          <w:szCs w:val="32"/>
        </w:rPr>
        <w:t xml:space="preserve">едеральная </w:t>
      </w:r>
      <w:r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нтимонопольная </w:t>
      </w:r>
      <w:r>
        <w:rPr>
          <w:b/>
          <w:sz w:val="32"/>
          <w:szCs w:val="32"/>
        </w:rPr>
        <w:t>с</w:t>
      </w:r>
      <w:r>
        <w:rPr>
          <w:sz w:val="32"/>
          <w:szCs w:val="32"/>
        </w:rPr>
        <w:t>лужба</w:t>
      </w:r>
    </w:p>
    <w:p w:rsidR="0056175F" w:rsidRDefault="00357B47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Управление по борьбе с картелями</w:t>
      </w:r>
    </w:p>
    <w:p w:rsidR="0056175F" w:rsidRDefault="00357B47">
      <w:pPr>
        <w:pStyle w:val="Textbody"/>
        <w:ind w:left="32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Москва, Садовая-Кудринская ул., д. </w:t>
      </w:r>
      <w:proofErr w:type="gramStart"/>
      <w:r>
        <w:rPr>
          <w:sz w:val="28"/>
          <w:u w:val="single"/>
        </w:rPr>
        <w:t>11 ,</w:t>
      </w:r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каб</w:t>
      </w:r>
      <w:proofErr w:type="spellEnd"/>
      <w:r>
        <w:rPr>
          <w:sz w:val="28"/>
          <w:u w:val="single"/>
        </w:rPr>
        <w:t xml:space="preserve">. 562   тел. (499) 7552323 </w:t>
      </w:r>
      <w:proofErr w:type="spellStart"/>
      <w:r>
        <w:rPr>
          <w:sz w:val="28"/>
          <w:u w:val="single"/>
        </w:rPr>
        <w:t>вн</w:t>
      </w:r>
      <w:proofErr w:type="spellEnd"/>
      <w:r>
        <w:rPr>
          <w:sz w:val="28"/>
          <w:u w:val="single"/>
        </w:rPr>
        <w:t>. 088-409</w:t>
      </w:r>
    </w:p>
    <w:p w:rsidR="0056175F" w:rsidRDefault="00357B47">
      <w:pPr>
        <w:pStyle w:val="Textbody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6175F" w:rsidRDefault="0056175F">
      <w:pPr>
        <w:pStyle w:val="Textbody"/>
        <w:jc w:val="center"/>
        <w:rPr>
          <w:b/>
          <w:sz w:val="28"/>
        </w:rPr>
      </w:pPr>
    </w:p>
    <w:p w:rsidR="0056175F" w:rsidRDefault="00357B47">
      <w:pPr>
        <w:pStyle w:val="Textbody"/>
        <w:jc w:val="center"/>
      </w:pPr>
      <w:r>
        <w:rPr>
          <w:b/>
          <w:sz w:val="28"/>
        </w:rPr>
        <w:t>АНАЛИТИЧЕСКИЙ ОТЧЕТ ПО</w:t>
      </w:r>
      <w:r>
        <w:rPr>
          <w:b/>
          <w:sz w:val="28"/>
        </w:rPr>
        <w:t xml:space="preserve"> РЕЗУЛЬТАТАМ АНАЛИЗА СОСТОЯНИЯ КОНКУРЕНЦИИ</w:t>
      </w:r>
      <w:r>
        <w:rPr>
          <w:sz w:val="28"/>
        </w:rPr>
        <w:t xml:space="preserve">         </w:t>
      </w:r>
    </w:p>
    <w:p w:rsidR="0056175F" w:rsidRDefault="00357B47">
      <w:pPr>
        <w:pStyle w:val="Textbody"/>
        <w:jc w:val="center"/>
      </w:pPr>
      <w:proofErr w:type="gramStart"/>
      <w:r>
        <w:rPr>
          <w:b/>
          <w:sz w:val="28"/>
        </w:rPr>
        <w:t>от  13.04.2017</w:t>
      </w:r>
      <w:proofErr w:type="gramEnd"/>
      <w:r>
        <w:rPr>
          <w:b/>
          <w:sz w:val="28"/>
        </w:rPr>
        <w:t xml:space="preserve"> г.                           </w:t>
      </w:r>
    </w:p>
    <w:p w:rsidR="0056175F" w:rsidRDefault="00357B47">
      <w:pPr>
        <w:pStyle w:val="Textbody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56175F" w:rsidRDefault="0056175F">
      <w:pPr>
        <w:pStyle w:val="Textbody"/>
        <w:spacing w:after="0"/>
        <w:ind w:left="4535"/>
        <w:rPr>
          <w:color w:val="000000"/>
        </w:rPr>
      </w:pPr>
    </w:p>
    <w:p w:rsidR="0056175F" w:rsidRDefault="0056175F">
      <w:pPr>
        <w:pStyle w:val="Textbody"/>
        <w:spacing w:after="0" w:line="360" w:lineRule="auto"/>
        <w:jc w:val="center"/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rPr>
          <w:sz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357B47">
      <w:pPr>
        <w:pStyle w:val="Textbody"/>
        <w:jc w:val="center"/>
      </w:pPr>
      <w:r>
        <w:rPr>
          <w:b/>
          <w:bCs/>
          <w:sz w:val="28"/>
          <w:szCs w:val="28"/>
        </w:rPr>
        <w:t>Москва, 2017 г.</w:t>
      </w: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357B4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175F" w:rsidRDefault="0056175F">
      <w:pPr>
        <w:pStyle w:val="Textbody"/>
        <w:rPr>
          <w:sz w:val="28"/>
          <w:szCs w:val="28"/>
        </w:rPr>
      </w:pP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 xml:space="preserve">1. Общие </w:t>
      </w:r>
      <w:r>
        <w:rPr>
          <w:sz w:val="28"/>
          <w:szCs w:val="28"/>
        </w:rPr>
        <w:t>положения....................................................................................................</w:t>
      </w:r>
      <w:r>
        <w:rPr>
          <w:b/>
          <w:bCs/>
          <w:sz w:val="28"/>
          <w:szCs w:val="28"/>
        </w:rPr>
        <w:t>3</w:t>
      </w: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>1.1 Основание, цель и порядок исследования...........................................................</w:t>
      </w:r>
      <w:r>
        <w:rPr>
          <w:b/>
          <w:bCs/>
          <w:sz w:val="28"/>
          <w:szCs w:val="28"/>
        </w:rPr>
        <w:t>3</w:t>
      </w:r>
    </w:p>
    <w:p w:rsidR="0056175F" w:rsidRDefault="00357B47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Общая информация об исследуемых </w:t>
      </w:r>
      <w:r>
        <w:rPr>
          <w:sz w:val="28"/>
          <w:szCs w:val="28"/>
        </w:rPr>
        <w:t>обстоятельствах и</w:t>
      </w:r>
    </w:p>
    <w:p w:rsidR="0056175F" w:rsidRDefault="00357B47">
      <w:pPr>
        <w:pStyle w:val="Textbody"/>
        <w:jc w:val="both"/>
      </w:pPr>
      <w:proofErr w:type="gramStart"/>
      <w:r>
        <w:rPr>
          <w:sz w:val="28"/>
          <w:szCs w:val="28"/>
        </w:rPr>
        <w:t>рассматриваемом</w:t>
      </w:r>
      <w:proofErr w:type="gramEnd"/>
      <w:r>
        <w:rPr>
          <w:sz w:val="28"/>
          <w:szCs w:val="28"/>
        </w:rPr>
        <w:t xml:space="preserve"> способе определения поставщика...............................................</w:t>
      </w:r>
      <w:r>
        <w:rPr>
          <w:b/>
          <w:bCs/>
          <w:sz w:val="28"/>
          <w:szCs w:val="28"/>
        </w:rPr>
        <w:t>4</w:t>
      </w: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>2. Источники исходной информации.........................................................................</w:t>
      </w:r>
      <w:r>
        <w:rPr>
          <w:b/>
          <w:bCs/>
          <w:sz w:val="28"/>
          <w:szCs w:val="28"/>
        </w:rPr>
        <w:t>5</w:t>
      </w: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 xml:space="preserve">3. Определение временного интервала </w:t>
      </w:r>
      <w:r>
        <w:rPr>
          <w:sz w:val="28"/>
          <w:szCs w:val="28"/>
        </w:rPr>
        <w:t>исследования..............................................</w:t>
      </w:r>
      <w:r>
        <w:rPr>
          <w:b/>
          <w:bCs/>
          <w:sz w:val="28"/>
          <w:szCs w:val="28"/>
        </w:rPr>
        <w:t>5</w:t>
      </w: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>4. Определение предмета торгов................................................................................</w:t>
      </w:r>
      <w:r>
        <w:rPr>
          <w:b/>
          <w:bCs/>
          <w:sz w:val="28"/>
          <w:szCs w:val="28"/>
        </w:rPr>
        <w:t>6</w:t>
      </w:r>
    </w:p>
    <w:p w:rsidR="0056175F" w:rsidRDefault="00357B47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Определение состава хозяйствующих субъектов, участвующих </w:t>
      </w:r>
    </w:p>
    <w:p w:rsidR="0056175F" w:rsidRDefault="00357B47">
      <w:pPr>
        <w:pStyle w:val="Textbody"/>
        <w:jc w:val="both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торгах.........................................................................................................................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>7</w:t>
      </w: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>6.Анализ ОАЭФ............................................................................................................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>9</w:t>
      </w:r>
    </w:p>
    <w:p w:rsidR="0056175F" w:rsidRDefault="00357B47">
      <w:pPr>
        <w:pStyle w:val="Textbody"/>
        <w:jc w:val="both"/>
      </w:pPr>
      <w:r>
        <w:rPr>
          <w:sz w:val="28"/>
          <w:szCs w:val="28"/>
        </w:rPr>
        <w:t>7. В</w:t>
      </w:r>
      <w:r>
        <w:rPr>
          <w:sz w:val="28"/>
          <w:szCs w:val="28"/>
        </w:rPr>
        <w:t>ывод........................................................................................................................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>9</w:t>
      </w: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rPr>
          <w:sz w:val="32"/>
          <w:szCs w:val="32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E21A07" w:rsidRDefault="00E21A07">
      <w:pPr>
        <w:pStyle w:val="Textbody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357B4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56175F" w:rsidRDefault="00357B4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Основание, цель и порядок исследования</w:t>
      </w:r>
    </w:p>
    <w:p w:rsidR="0056175F" w:rsidRDefault="0056175F">
      <w:pPr>
        <w:pStyle w:val="Textbody"/>
        <w:jc w:val="center"/>
        <w:rPr>
          <w:b/>
          <w:bCs/>
          <w:sz w:val="28"/>
          <w:szCs w:val="28"/>
        </w:rPr>
      </w:pPr>
    </w:p>
    <w:p w:rsidR="0056175F" w:rsidRDefault="00357B47">
      <w:pPr>
        <w:pStyle w:val="Textbody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5.1 статьи 45 Федерально</w:t>
      </w:r>
      <w:r>
        <w:rPr>
          <w:sz w:val="28"/>
          <w:szCs w:val="28"/>
        </w:rPr>
        <w:t>го закона от 26.07.2006 №135-ФЗ «О защите конкуренции» при рассмотрении дела о нарушении антимонопольного законодательства антимонопольный орган проводит анализ состояния конкуренции в объеме, необходимом для принятия решения о наличии или об отсутствии на</w:t>
      </w:r>
      <w:r>
        <w:rPr>
          <w:sz w:val="28"/>
          <w:szCs w:val="28"/>
        </w:rPr>
        <w:t>рушения антимонопольного законодательства.</w:t>
      </w:r>
    </w:p>
    <w:p w:rsidR="0056175F" w:rsidRDefault="00357B47">
      <w:pPr>
        <w:pStyle w:val="Textbody"/>
        <w:spacing w:line="360" w:lineRule="auto"/>
        <w:ind w:firstLine="705"/>
        <w:jc w:val="both"/>
      </w:pPr>
      <w:r>
        <w:rPr>
          <w:sz w:val="28"/>
          <w:szCs w:val="28"/>
        </w:rPr>
        <w:t xml:space="preserve">Настоящий анализ проведен с целью полного, объективного, всестороннего исследования конкуренции на открытых аукционах в электронной форме на оказание услуг по санитарному содержанию и техническому обслуживанию </w:t>
      </w:r>
      <w:r>
        <w:rPr>
          <w:sz w:val="28"/>
          <w:szCs w:val="28"/>
        </w:rPr>
        <w:t>военных городков, казарменно - жилищных фондов, учебных и военно-медицинских учреждений и прилегающих к ним территорий, санаторно-курортных комплексов, подведомственных Министерству обороны Российской Федерации в 2015 - 2016 гг., рассматриваемых в рамках д</w:t>
      </w:r>
      <w:r>
        <w:rPr>
          <w:sz w:val="28"/>
          <w:szCs w:val="28"/>
        </w:rPr>
        <w:t xml:space="preserve">ела о нарушении антимонопольного законодательства №  </w:t>
      </w:r>
      <w:r>
        <w:rPr>
          <w:sz w:val="28"/>
          <w:szCs w:val="28"/>
          <w:u w:val="single"/>
        </w:rPr>
        <w:t>1-00-110/00-22-16</w:t>
      </w:r>
      <w:r>
        <w:rPr>
          <w:sz w:val="28"/>
          <w:szCs w:val="28"/>
        </w:rPr>
        <w:t>.</w:t>
      </w:r>
    </w:p>
    <w:p w:rsidR="0056175F" w:rsidRDefault="00357B47">
      <w:pPr>
        <w:pStyle w:val="Textbody"/>
        <w:spacing w:after="0" w:line="360" w:lineRule="auto"/>
        <w:ind w:firstLine="705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Анализ состояния конкуренции осуществлен в соответствии со следующими нормативными актами:</w:t>
      </w:r>
    </w:p>
    <w:p w:rsidR="0056175F" w:rsidRDefault="00357B47">
      <w:pPr>
        <w:pStyle w:val="Textbody"/>
        <w:spacing w:line="360" w:lineRule="auto"/>
        <w:ind w:firstLine="705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Федеральный закон от 26.07.2006 № 135-ФЗ (ред. от 05.10.15) «О защите конкуренции» (с изм.</w:t>
      </w:r>
      <w:r>
        <w:rPr>
          <w:color w:val="00000A"/>
          <w:sz w:val="28"/>
          <w:szCs w:val="28"/>
        </w:rPr>
        <w:t xml:space="preserve"> и доп., вступ. в силу с 10.01.2016) (далее - Закон о защите конкуренции).</w:t>
      </w:r>
    </w:p>
    <w:p w:rsidR="0056175F" w:rsidRDefault="00357B47">
      <w:pPr>
        <w:pStyle w:val="Textbody"/>
        <w:spacing w:line="360" w:lineRule="auto"/>
        <w:ind w:firstLine="705"/>
        <w:jc w:val="both"/>
      </w:pPr>
      <w:r>
        <w:rPr>
          <w:color w:val="00000A"/>
          <w:sz w:val="28"/>
          <w:szCs w:val="28"/>
        </w:rPr>
        <w:t>2. Федеральный закон от 05.10.2015 № 275-ФЗ «О внесении изменений в Федеральный закон «О защите конкуренции» и отдельные законодательные акты Российской Федерации».</w:t>
      </w:r>
    </w:p>
    <w:p w:rsidR="0056175F" w:rsidRDefault="00357B47">
      <w:pPr>
        <w:pStyle w:val="Textbody"/>
        <w:spacing w:line="360" w:lineRule="auto"/>
        <w:ind w:firstLine="705"/>
        <w:jc w:val="both"/>
      </w:pPr>
      <w:r>
        <w:rPr>
          <w:color w:val="00000A"/>
          <w:sz w:val="28"/>
          <w:szCs w:val="28"/>
        </w:rPr>
        <w:t>3. Приказ ФАС Ро</w:t>
      </w:r>
      <w:r>
        <w:rPr>
          <w:color w:val="00000A"/>
          <w:sz w:val="28"/>
          <w:szCs w:val="28"/>
        </w:rPr>
        <w:t>ссии от 28.04.2010 № 220 «Об утверждении Поря</w:t>
      </w:r>
      <w:r>
        <w:rPr>
          <w:color w:val="00000A"/>
          <w:sz w:val="28"/>
          <w:szCs w:val="28"/>
          <w:shd w:val="clear" w:color="auto" w:fill="FFFFFF"/>
        </w:rPr>
        <w:t>дка проведения анализа состояния конкуренции на товарном рынке» (далее – Приказ № 220).</w:t>
      </w:r>
    </w:p>
    <w:p w:rsidR="0056175F" w:rsidRDefault="00357B47">
      <w:pPr>
        <w:pStyle w:val="Textbody"/>
        <w:spacing w:line="360" w:lineRule="auto"/>
        <w:ind w:firstLine="705"/>
        <w:jc w:val="both"/>
      </w:pPr>
      <w:r>
        <w:rPr>
          <w:color w:val="00000A"/>
          <w:sz w:val="28"/>
          <w:szCs w:val="28"/>
        </w:rPr>
        <w:t>4. Федеральный закон от 05.04.2013 № 44-ФЗ (ред. от 30.12.2015) «О контрактной системе в сфере закупок товаров, работ, услу</w:t>
      </w:r>
      <w:r>
        <w:rPr>
          <w:color w:val="00000A"/>
          <w:sz w:val="28"/>
          <w:szCs w:val="28"/>
        </w:rPr>
        <w:t>г для обеспечения государственных и муниципальных нужд» (далее – Закон о контрактной системе).</w:t>
      </w:r>
    </w:p>
    <w:p w:rsidR="0056175F" w:rsidRDefault="0056175F">
      <w:pPr>
        <w:pStyle w:val="Textbody"/>
        <w:spacing w:line="276" w:lineRule="auto"/>
        <w:ind w:firstLine="705"/>
        <w:jc w:val="both"/>
        <w:rPr>
          <w:sz w:val="28"/>
          <w:szCs w:val="28"/>
        </w:rPr>
      </w:pPr>
    </w:p>
    <w:p w:rsidR="0056175F" w:rsidRDefault="00357B4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Общая информация об исследуемых обстоятельствах и</w:t>
      </w:r>
    </w:p>
    <w:p w:rsidR="0056175F" w:rsidRDefault="00357B47">
      <w:pPr>
        <w:pStyle w:val="Text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рассматриваемом</w:t>
      </w:r>
      <w:proofErr w:type="gramEnd"/>
      <w:r>
        <w:rPr>
          <w:b/>
          <w:bCs/>
          <w:sz w:val="28"/>
          <w:szCs w:val="28"/>
        </w:rPr>
        <w:t xml:space="preserve"> способе определения поставщика</w:t>
      </w:r>
    </w:p>
    <w:p w:rsidR="0056175F" w:rsidRDefault="0056175F">
      <w:pPr>
        <w:pStyle w:val="Textbody"/>
        <w:jc w:val="center"/>
        <w:rPr>
          <w:sz w:val="32"/>
          <w:szCs w:val="32"/>
        </w:rPr>
      </w:pPr>
    </w:p>
    <w:p w:rsidR="0056175F" w:rsidRDefault="00357B47">
      <w:pPr>
        <w:pStyle w:val="Textbody"/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г. был проведен ряд закупок для нужд Министерства </w:t>
      </w:r>
      <w:r>
        <w:rPr>
          <w:sz w:val="28"/>
          <w:szCs w:val="28"/>
        </w:rPr>
        <w:t>обороны Российской Федерации, которое также являлось заказчиком.</w:t>
      </w:r>
    </w:p>
    <w:p w:rsidR="0056175F" w:rsidRDefault="00357B47">
      <w:pPr>
        <w:pStyle w:val="Textbody"/>
        <w:spacing w:line="360" w:lineRule="auto"/>
        <w:ind w:firstLine="675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Закупки во всех исследованных аукционах осуществлялись в соответствии с положениями Закона о контрактной системе.</w:t>
      </w:r>
    </w:p>
    <w:p w:rsidR="0056175F" w:rsidRDefault="00357B47">
      <w:pPr>
        <w:pStyle w:val="Textbody"/>
        <w:spacing w:line="360" w:lineRule="auto"/>
        <w:ind w:firstLine="675"/>
        <w:jc w:val="both"/>
      </w:pPr>
      <w:r>
        <w:rPr>
          <w:sz w:val="28"/>
          <w:szCs w:val="28"/>
        </w:rPr>
        <w:t xml:space="preserve">В соответствии с </w:t>
      </w:r>
      <w:r>
        <w:rPr>
          <w:b/>
          <w:sz w:val="28"/>
          <w:szCs w:val="28"/>
        </w:rPr>
        <w:t>частью 4 статьи 24 Закона о контрактной системе</w:t>
      </w:r>
      <w:r>
        <w:rPr>
          <w:sz w:val="28"/>
          <w:szCs w:val="28"/>
        </w:rPr>
        <w:t xml:space="preserve"> под </w:t>
      </w:r>
      <w:r>
        <w:rPr>
          <w:i/>
          <w:iCs/>
          <w:sz w:val="28"/>
          <w:szCs w:val="28"/>
        </w:rPr>
        <w:t>аукционо</w:t>
      </w:r>
      <w:r>
        <w:rPr>
          <w:i/>
          <w:iCs/>
          <w:sz w:val="28"/>
          <w:szCs w:val="28"/>
        </w:rPr>
        <w:t>м</w:t>
      </w:r>
      <w:r>
        <w:rPr>
          <w:sz w:val="28"/>
          <w:szCs w:val="28"/>
        </w:rPr>
        <w:t xml:space="preserve"> понимается способ определения поставщика (подрядчика, исполнителя), при котором победителем признается участник закупки, предложивший наименьшую цену контракта.</w:t>
      </w:r>
    </w:p>
    <w:p w:rsidR="0056175F" w:rsidRDefault="00357B47">
      <w:pPr>
        <w:pStyle w:val="Textbody"/>
        <w:spacing w:line="360" w:lineRule="auto"/>
        <w:ind w:firstLine="675"/>
        <w:jc w:val="both"/>
      </w:pPr>
      <w:r>
        <w:rPr>
          <w:sz w:val="28"/>
        </w:rPr>
        <w:t xml:space="preserve">В соответствии с </w:t>
      </w:r>
      <w:r>
        <w:rPr>
          <w:b/>
          <w:sz w:val="28"/>
        </w:rPr>
        <w:t>частью 1 статьи 59 Закона о контрактной системе</w:t>
      </w:r>
      <w:r>
        <w:rPr>
          <w:sz w:val="28"/>
        </w:rPr>
        <w:t xml:space="preserve"> под </w:t>
      </w:r>
      <w:r>
        <w:rPr>
          <w:i/>
          <w:sz w:val="28"/>
        </w:rPr>
        <w:t xml:space="preserve">аукционом в электронной </w:t>
      </w:r>
      <w:r>
        <w:rPr>
          <w:i/>
          <w:sz w:val="28"/>
        </w:rPr>
        <w:t>форме</w:t>
      </w:r>
      <w:r>
        <w:rPr>
          <w:sz w:val="28"/>
        </w:rPr>
        <w:t xml:space="preserve">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</w:t>
      </w:r>
      <w:r>
        <w:rPr>
          <w:sz w:val="28"/>
        </w:rPr>
        <w:t>ые требования и дополнительные требования, проведение такого аукциона обеспечивается на электронной площадке ее оператором.</w:t>
      </w:r>
    </w:p>
    <w:p w:rsidR="0056175F" w:rsidRDefault="00357B47">
      <w:pPr>
        <w:pStyle w:val="Standard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Таким образом, все участники ОАЭФ, признанные соответствующими требованиям к участникам аукциона, которые предусмотрены аукционной д</w:t>
      </w:r>
      <w:r>
        <w:rPr>
          <w:rFonts w:cs="Times New Roman"/>
          <w:i/>
          <w:sz w:val="28"/>
          <w:szCs w:val="28"/>
        </w:rPr>
        <w:t>окументацией, являются потенциальными поставщиками (продавцами) предмета закупки в рамках каждого из рассматриваемых аукционов, то есть все участники являются между собой конкурентами при участии в торгах на право заключения государственного контракта.</w:t>
      </w:r>
    </w:p>
    <w:p w:rsidR="0056175F" w:rsidRDefault="00357B47">
      <w:pPr>
        <w:pStyle w:val="Standard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стник электронного аукциона, который предложил наиболее низкую цену контракта, и заявка на участие в таком аукционе которого соответствует требованиям, установленным документацией об электронном аукционе, становится победителем ОАЭФ, и с ним заключается го</w:t>
      </w:r>
      <w:r>
        <w:rPr>
          <w:rFonts w:cs="Times New Roman"/>
          <w:sz w:val="28"/>
          <w:szCs w:val="28"/>
        </w:rPr>
        <w:t>сударственный контракт.</w:t>
      </w:r>
    </w:p>
    <w:p w:rsidR="0056175F" w:rsidRDefault="0056175F">
      <w:pPr>
        <w:pStyle w:val="Textbody"/>
        <w:spacing w:line="360" w:lineRule="auto"/>
        <w:ind w:firstLine="675"/>
        <w:jc w:val="both"/>
        <w:rPr>
          <w:sz w:val="28"/>
        </w:rPr>
      </w:pPr>
    </w:p>
    <w:p w:rsidR="0056175F" w:rsidRDefault="00357B47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2. Источники исходной информации</w:t>
      </w:r>
    </w:p>
    <w:p w:rsidR="0056175F" w:rsidRDefault="0056175F">
      <w:pPr>
        <w:pStyle w:val="Textbody"/>
      </w:pPr>
    </w:p>
    <w:p w:rsidR="0056175F" w:rsidRDefault="00357B47">
      <w:pPr>
        <w:pStyle w:val="Textbody"/>
        <w:spacing w:line="360" w:lineRule="auto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В целях анализа состояния конкуренции в качестве исходной информации использованы:</w:t>
      </w:r>
    </w:p>
    <w:p w:rsidR="0056175F" w:rsidRDefault="00357B47">
      <w:pPr>
        <w:pStyle w:val="Textbody"/>
        <w:spacing w:line="360" w:lineRule="auto"/>
        <w:ind w:firstLine="709"/>
        <w:jc w:val="both"/>
      </w:pPr>
      <w:r>
        <w:rPr>
          <w:color w:val="00000A"/>
          <w:sz w:val="28"/>
        </w:rPr>
        <w:t xml:space="preserve">-  </w:t>
      </w:r>
      <w:r>
        <w:rPr>
          <w:sz w:val="28"/>
        </w:rPr>
        <w:t>материалы дела о нарушении антимонопольного законодательства №</w:t>
      </w:r>
      <w:r>
        <w:rPr>
          <w:sz w:val="28"/>
          <w:u w:val="single"/>
        </w:rPr>
        <w:t xml:space="preserve"> 1-00-110/00-22-16;</w:t>
      </w:r>
    </w:p>
    <w:p w:rsidR="0056175F" w:rsidRDefault="00357B47">
      <w:pPr>
        <w:pStyle w:val="Textbody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данные, полученные от </w:t>
      </w:r>
      <w:r>
        <w:rPr>
          <w:sz w:val="28"/>
        </w:rPr>
        <w:t>электронных торговых площадок, налоговых органов и иных организаций по запросам ФАС России;</w:t>
      </w:r>
    </w:p>
    <w:p w:rsidR="0056175F" w:rsidRDefault="00357B47">
      <w:pPr>
        <w:pStyle w:val="Textbody"/>
        <w:spacing w:line="360" w:lineRule="auto"/>
        <w:ind w:firstLine="709"/>
        <w:jc w:val="both"/>
      </w:pPr>
      <w:r>
        <w:rPr>
          <w:sz w:val="28"/>
        </w:rPr>
        <w:t xml:space="preserve">- информация, размещенная на официальном сайте Единой </w:t>
      </w:r>
      <w:proofErr w:type="spellStart"/>
      <w:proofErr w:type="gramStart"/>
      <w:r>
        <w:rPr>
          <w:sz w:val="28"/>
        </w:rPr>
        <w:t>информа-ционной</w:t>
      </w:r>
      <w:proofErr w:type="spellEnd"/>
      <w:proofErr w:type="gramEnd"/>
      <w:r>
        <w:rPr>
          <w:sz w:val="28"/>
        </w:rPr>
        <w:t xml:space="preserve"> системы в сфере закупок </w:t>
      </w:r>
      <w:r>
        <w:rPr>
          <w:i/>
          <w:sz w:val="28"/>
        </w:rPr>
        <w:t>(http://zakupki.gov.ru).</w:t>
      </w:r>
    </w:p>
    <w:p w:rsidR="0056175F" w:rsidRDefault="00357B47">
      <w:pPr>
        <w:pStyle w:val="Textbody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Определение временного интервала исследова</w:t>
      </w:r>
      <w:r>
        <w:rPr>
          <w:b/>
          <w:bCs/>
          <w:sz w:val="28"/>
          <w:szCs w:val="28"/>
        </w:rPr>
        <w:t>ния</w:t>
      </w:r>
    </w:p>
    <w:p w:rsidR="0056175F" w:rsidRDefault="0056175F">
      <w:pPr>
        <w:pStyle w:val="Textbody"/>
        <w:ind w:firstLine="709"/>
        <w:jc w:val="center"/>
        <w:rPr>
          <w:b/>
          <w:bCs/>
          <w:sz w:val="30"/>
          <w:szCs w:val="30"/>
        </w:rPr>
      </w:pPr>
    </w:p>
    <w:p w:rsidR="0056175F" w:rsidRDefault="00357B47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состояния конкуренции при проведении открытых аукционов в электронной форме (далее - ОАЭФ) проводилось в отношении 8 аукционов.</w:t>
      </w:r>
    </w:p>
    <w:p w:rsidR="0056175F" w:rsidRDefault="00357B47">
      <w:pPr>
        <w:pStyle w:val="Textbody"/>
        <w:spacing w:line="360" w:lineRule="auto"/>
        <w:ind w:firstLine="539"/>
        <w:jc w:val="both"/>
      </w:pPr>
      <w:r>
        <w:rPr>
          <w:sz w:val="28"/>
        </w:rPr>
        <w:t xml:space="preserve">В соответствии с </w:t>
      </w:r>
      <w:r>
        <w:rPr>
          <w:b/>
          <w:sz w:val="28"/>
        </w:rPr>
        <w:t>пунктом 3 статьи 3 Закона о контрактной системе</w:t>
      </w:r>
      <w:r>
        <w:rPr>
          <w:sz w:val="28"/>
        </w:rPr>
        <w:t xml:space="preserve"> </w:t>
      </w:r>
      <w:r>
        <w:rPr>
          <w:i/>
          <w:sz w:val="28"/>
        </w:rPr>
        <w:t>- закупка товара, работы, услуги для обеспече</w:t>
      </w:r>
      <w:r>
        <w:rPr>
          <w:i/>
          <w:sz w:val="28"/>
        </w:rPr>
        <w:t>ния государственных или муниципальных нужд (далее - закупка)</w:t>
      </w:r>
      <w:r>
        <w:rPr>
          <w:sz w:val="28"/>
        </w:rPr>
        <w:t xml:space="preserve"> - совокупность действий, осуществляемых в установленном законом порядке заказчиком и направленных на обеспечение государственных или муниципальных нужд. Закупка начинается с определения поставщик</w:t>
      </w:r>
      <w:r>
        <w:rPr>
          <w:sz w:val="28"/>
        </w:rPr>
        <w:t>а (подрядчика, исполнителя) и завершается исполнением обязательств сторонами контракта.</w:t>
      </w:r>
    </w:p>
    <w:p w:rsidR="0056175F" w:rsidRDefault="00357B47">
      <w:pPr>
        <w:pStyle w:val="Textbody"/>
        <w:spacing w:line="360" w:lineRule="auto"/>
        <w:ind w:firstLine="539"/>
        <w:jc w:val="both"/>
      </w:pPr>
      <w:r>
        <w:rPr>
          <w:sz w:val="28"/>
          <w:shd w:val="clear" w:color="auto" w:fill="FFFFFF"/>
        </w:rPr>
        <w:t>Таким образом, временной интервал исследования конкуренции на открытых аукционах в электронной форме</w:t>
      </w:r>
      <w:r>
        <w:rPr>
          <w:sz w:val="28"/>
          <w:szCs w:val="28"/>
          <w:shd w:val="clear" w:color="auto" w:fill="FFFFFF"/>
        </w:rPr>
        <w:t xml:space="preserve"> на </w:t>
      </w:r>
      <w:r>
        <w:rPr>
          <w:rFonts w:cs="Times New Roman"/>
          <w:color w:val="000000"/>
          <w:sz w:val="28"/>
          <w:szCs w:val="28"/>
        </w:rPr>
        <w:t>по санитарному содержанию внутренних помещений и прилегающей тер</w:t>
      </w:r>
      <w:r>
        <w:rPr>
          <w:rFonts w:cs="Times New Roman"/>
          <w:color w:val="000000"/>
          <w:sz w:val="28"/>
          <w:szCs w:val="28"/>
        </w:rPr>
        <w:t xml:space="preserve">ритории </w:t>
      </w:r>
      <w:proofErr w:type="spellStart"/>
      <w:r>
        <w:rPr>
          <w:rFonts w:cs="Times New Roman"/>
          <w:color w:val="000000"/>
          <w:sz w:val="28"/>
          <w:szCs w:val="28"/>
        </w:rPr>
        <w:t>довузовских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общеобразовательных учреждений; оказание услуг по техническому обслуживанию </w:t>
      </w:r>
      <w:proofErr w:type="spellStart"/>
      <w:r>
        <w:rPr>
          <w:rFonts w:cs="Times New Roman"/>
          <w:color w:val="000000"/>
          <w:sz w:val="28"/>
          <w:szCs w:val="28"/>
        </w:rPr>
        <w:t>довузовских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общеобразовательных учреждений; оказание услуг по комплексному техническому обслуживанию и санитарному содержанию фондов санаторно-культурных компле</w:t>
      </w:r>
      <w:r>
        <w:rPr>
          <w:rFonts w:cs="Times New Roman"/>
          <w:color w:val="000000"/>
          <w:sz w:val="28"/>
          <w:szCs w:val="28"/>
        </w:rPr>
        <w:t xml:space="preserve">ксов; оказание услуг по комплексному техническому обслуживанию и санитарному содержанию военных городков; </w:t>
      </w:r>
      <w:r>
        <w:rPr>
          <w:rFonts w:cs="Times New Roman"/>
          <w:color w:val="000000"/>
          <w:sz w:val="28"/>
          <w:szCs w:val="28"/>
        </w:rPr>
        <w:lastRenderedPageBreak/>
        <w:t>оказание услуг по комплексному техническому обслуживанию и санитарному содержанию военно-медицинских учреждений</w:t>
      </w:r>
      <w:r>
        <w:rPr>
          <w:sz w:val="28"/>
          <w:szCs w:val="28"/>
          <w:shd w:val="clear" w:color="auto" w:fill="FFFFFF"/>
        </w:rPr>
        <w:t>, подведомственных Министерству обороны</w:t>
      </w:r>
      <w:r>
        <w:rPr>
          <w:sz w:val="28"/>
          <w:szCs w:val="28"/>
          <w:shd w:val="clear" w:color="auto" w:fill="FFFFFF"/>
        </w:rPr>
        <w:t xml:space="preserve"> Российской Федерации в 2015 - 2016 гг.</w:t>
      </w:r>
      <w:r>
        <w:rPr>
          <w:sz w:val="28"/>
          <w:shd w:val="clear" w:color="auto" w:fill="FFFFFF"/>
        </w:rPr>
        <w:t xml:space="preserve"> определен периодом с момента опубликования извещения о проведении электронного аукциона до момента исполнения обязательств сторонами контракта.</w:t>
      </w:r>
    </w:p>
    <w:p w:rsidR="0056175F" w:rsidRDefault="00357B47">
      <w:pPr>
        <w:pStyle w:val="Textbody"/>
        <w:spacing w:after="0" w:line="360" w:lineRule="auto"/>
        <w:ind w:firstLine="705"/>
        <w:jc w:val="both"/>
      </w:pPr>
      <w:r>
        <w:rPr>
          <w:sz w:val="28"/>
        </w:rPr>
        <w:t>Все исследованные аукционы</w:t>
      </w:r>
      <w:r>
        <w:rPr>
          <w:color w:val="000000"/>
          <w:sz w:val="28"/>
          <w:szCs w:val="28"/>
          <w:shd w:val="clear" w:color="auto" w:fill="FFFFFF"/>
        </w:rPr>
        <w:t xml:space="preserve"> были проведены в период с 12.05.2015 г. по 18</w:t>
      </w:r>
      <w:r>
        <w:rPr>
          <w:color w:val="000000"/>
          <w:sz w:val="28"/>
          <w:szCs w:val="28"/>
          <w:shd w:val="clear" w:color="auto" w:fill="FFFFFF"/>
        </w:rPr>
        <w:t>.05.2015 г. Исполнение нескольких контрактов, заключенных с победителями по итогам проведения указанных аукционов, к моменту составления настоящего аналитического отчета не было завершено.</w:t>
      </w:r>
      <w:r>
        <w:rPr>
          <w:sz w:val="28"/>
        </w:rPr>
        <w:t xml:space="preserve"> Таким образом, временной интервал исследования </w:t>
      </w:r>
      <w:r>
        <w:rPr>
          <w:b/>
          <w:i/>
          <w:sz w:val="28"/>
          <w:u w:val="single"/>
        </w:rPr>
        <w:t>определен с 12.05.20</w:t>
      </w:r>
      <w:r>
        <w:rPr>
          <w:b/>
          <w:i/>
          <w:sz w:val="28"/>
          <w:u w:val="single"/>
        </w:rPr>
        <w:t>15 (дата размещения извещения о проведении открытых аукционов в электронной форме №0173100004515000863, №0173100004515000872) по 13.04.2017 (момент составления настоящего аналитического отчета).</w:t>
      </w:r>
    </w:p>
    <w:p w:rsidR="0056175F" w:rsidRDefault="0056175F">
      <w:pPr>
        <w:pStyle w:val="Textbody"/>
        <w:spacing w:after="0" w:line="276" w:lineRule="auto"/>
        <w:ind w:firstLine="705"/>
        <w:jc w:val="both"/>
        <w:rPr>
          <w:sz w:val="28"/>
        </w:rPr>
      </w:pPr>
    </w:p>
    <w:p w:rsidR="0056175F" w:rsidRDefault="00357B47">
      <w:pPr>
        <w:pStyle w:val="Textbody"/>
        <w:spacing w:after="0" w:line="276" w:lineRule="auto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Определение предмета торгов</w:t>
      </w:r>
    </w:p>
    <w:p w:rsidR="0056175F" w:rsidRDefault="0056175F">
      <w:pPr>
        <w:pStyle w:val="Textbody"/>
        <w:spacing w:after="0" w:line="276" w:lineRule="auto"/>
        <w:ind w:firstLine="705"/>
        <w:jc w:val="center"/>
        <w:rPr>
          <w:b/>
          <w:bCs/>
          <w:sz w:val="32"/>
          <w:szCs w:val="32"/>
        </w:rPr>
      </w:pPr>
    </w:p>
    <w:p w:rsidR="0056175F" w:rsidRDefault="00357B47">
      <w:pPr>
        <w:pStyle w:val="Standard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Предметом 8 электронных </w:t>
      </w:r>
      <w:r>
        <w:rPr>
          <w:color w:val="000000"/>
          <w:sz w:val="28"/>
          <w:szCs w:val="28"/>
          <w:shd w:val="clear" w:color="auto" w:fill="FFFFFF"/>
        </w:rPr>
        <w:t>аукционов, изучаемых в рамках данного исследования, было заключение следующих контрактов для нужд Министерства обороны РФ:</w:t>
      </w:r>
    </w:p>
    <w:p w:rsidR="0056175F" w:rsidRDefault="00357B47">
      <w:pPr>
        <w:pStyle w:val="Textbody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>- Оказание услуг по комплексному техническому обслуживанию и санитарному содержанию военно-медицинских учреждений;</w:t>
      </w:r>
    </w:p>
    <w:p w:rsidR="0056175F" w:rsidRDefault="00357B47">
      <w:pPr>
        <w:pStyle w:val="Textbody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>- Оказание услуг п</w:t>
      </w:r>
      <w:r>
        <w:rPr>
          <w:color w:val="000000"/>
          <w:sz w:val="28"/>
          <w:szCs w:val="28"/>
          <w:shd w:val="clear" w:color="auto" w:fill="FFFFFF"/>
        </w:rPr>
        <w:t xml:space="preserve">о санитарному содержанию внутренних помещений и прилегающей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довузовских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общеобразовательных учреждений;</w:t>
      </w:r>
    </w:p>
    <w:p w:rsidR="0056175F" w:rsidRDefault="00357B47">
      <w:pPr>
        <w:pStyle w:val="Textbody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Оказание услуг по техническому обслуживанию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довузовских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общеобразовательных учреждений;</w:t>
      </w:r>
    </w:p>
    <w:p w:rsidR="0056175F" w:rsidRDefault="00357B47">
      <w:pPr>
        <w:pStyle w:val="Textbody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>- Оказание услуг по техническому обслуживанию фондо</w:t>
      </w:r>
      <w:r>
        <w:rPr>
          <w:color w:val="000000"/>
          <w:sz w:val="28"/>
          <w:szCs w:val="28"/>
          <w:shd w:val="clear" w:color="auto" w:fill="FFFFFF"/>
        </w:rPr>
        <w:t>в санаторно-культурных комплексов;</w:t>
      </w:r>
    </w:p>
    <w:p w:rsidR="0056175F" w:rsidRDefault="00357B47">
      <w:pPr>
        <w:pStyle w:val="Textbody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>- Оказание услуг по санитарному содержанию фондов санаторно-культурных комплексов;</w:t>
      </w:r>
    </w:p>
    <w:p w:rsidR="0056175F" w:rsidRDefault="00357B47">
      <w:pPr>
        <w:pStyle w:val="Textbody"/>
        <w:spacing w:line="360" w:lineRule="auto"/>
        <w:ind w:firstLine="69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Оказание услуг по комплексному техническому обслуживанию и </w:t>
      </w:r>
      <w:r>
        <w:rPr>
          <w:color w:val="000000"/>
          <w:sz w:val="28"/>
          <w:szCs w:val="28"/>
          <w:shd w:val="clear" w:color="auto" w:fill="FFFFFF"/>
        </w:rPr>
        <w:lastRenderedPageBreak/>
        <w:t>санитарному содержанию военных городков.</w:t>
      </w:r>
    </w:p>
    <w:p w:rsidR="0056175F" w:rsidRDefault="00357B47">
      <w:pPr>
        <w:pStyle w:val="Textbody"/>
        <w:spacing w:line="360" w:lineRule="auto"/>
        <w:ind w:firstLine="69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Объект закупки определяется исходя </w:t>
      </w:r>
      <w:r>
        <w:rPr>
          <w:color w:val="000000"/>
          <w:sz w:val="28"/>
          <w:szCs w:val="28"/>
          <w:shd w:val="clear" w:color="auto" w:fill="FFFFFF"/>
        </w:rPr>
        <w:t xml:space="preserve">из необходимости реализации конкретной цели осуществления закупки, определенной с учетом положений </w:t>
      </w:r>
      <w:hyperlink r:id="rId7" w:history="1">
        <w:r>
          <w:rPr>
            <w:color w:val="000000"/>
            <w:sz w:val="28"/>
            <w:szCs w:val="28"/>
            <w:shd w:val="clear" w:color="auto" w:fill="FFFFFF"/>
          </w:rPr>
          <w:t>статьи 13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Закона о контра</w:t>
      </w:r>
      <w:r>
        <w:rPr>
          <w:color w:val="000000"/>
          <w:sz w:val="28"/>
          <w:szCs w:val="28"/>
          <w:shd w:val="clear" w:color="auto" w:fill="FFFFFF"/>
        </w:rPr>
        <w:t xml:space="preserve">ктной системе, и установленных в соответствии со </w:t>
      </w:r>
      <w:hyperlink r:id="rId8" w:history="1">
        <w:r>
          <w:rPr>
            <w:color w:val="000000"/>
            <w:sz w:val="28"/>
            <w:szCs w:val="28"/>
            <w:shd w:val="clear" w:color="auto" w:fill="FFFFFF"/>
          </w:rPr>
          <w:t>статьей 19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Закона о контрактной системе требований к закупаемому заказчиком</w:t>
      </w:r>
      <w:r>
        <w:rPr>
          <w:color w:val="000000"/>
          <w:sz w:val="28"/>
          <w:szCs w:val="28"/>
          <w:shd w:val="clear" w:color="auto" w:fill="FFFFFF"/>
        </w:rPr>
        <w:t xml:space="preserve">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56175F" w:rsidRDefault="00357B47">
      <w:pPr>
        <w:pStyle w:val="Textbody"/>
        <w:spacing w:after="0" w:line="360" w:lineRule="auto"/>
        <w:ind w:firstLine="69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обобщенном виде объе</w:t>
      </w:r>
      <w:r>
        <w:rPr>
          <w:color w:val="000000"/>
          <w:sz w:val="28"/>
          <w:szCs w:val="28"/>
          <w:shd w:val="clear" w:color="auto" w:fill="FFFFFF"/>
        </w:rPr>
        <w:t xml:space="preserve">ктом закупки всех исследованных аукционов является оказание услуг по санитарному содержанию и техническому обслуживанию военных городков,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довузовских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общеобразовательных учреждений и военно-медицинских учреждений, санаторно-курортных комплексов, подведомст</w:t>
      </w:r>
      <w:r>
        <w:rPr>
          <w:color w:val="000000"/>
          <w:sz w:val="28"/>
          <w:szCs w:val="28"/>
          <w:shd w:val="clear" w:color="auto" w:fill="FFFFFF"/>
        </w:rPr>
        <w:t>венных Министерству обороны Российской Федерации в 2015 -2016 гг.</w:t>
      </w:r>
    </w:p>
    <w:p w:rsidR="0056175F" w:rsidRDefault="0056175F">
      <w:pPr>
        <w:pStyle w:val="Textbody"/>
        <w:spacing w:after="0"/>
        <w:ind w:firstLine="705"/>
        <w:jc w:val="center"/>
        <w:rPr>
          <w:b/>
          <w:bCs/>
          <w:sz w:val="32"/>
          <w:szCs w:val="32"/>
        </w:rPr>
      </w:pPr>
    </w:p>
    <w:p w:rsidR="0056175F" w:rsidRDefault="00357B47">
      <w:pPr>
        <w:pStyle w:val="Textbody"/>
        <w:spacing w:after="0" w:line="276" w:lineRule="auto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Определение состава хозяйствующих субъектов</w:t>
      </w:r>
    </w:p>
    <w:p w:rsidR="0056175F" w:rsidRDefault="0056175F">
      <w:pPr>
        <w:pStyle w:val="Textbody"/>
        <w:spacing w:after="0" w:line="276" w:lineRule="auto"/>
        <w:ind w:firstLine="705"/>
        <w:jc w:val="center"/>
        <w:rPr>
          <w:b/>
          <w:bCs/>
          <w:sz w:val="32"/>
          <w:szCs w:val="32"/>
        </w:rPr>
      </w:pPr>
    </w:p>
    <w:p w:rsidR="0056175F" w:rsidRDefault="00357B47">
      <w:pPr>
        <w:pStyle w:val="Textbody"/>
        <w:spacing w:after="0"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состава хозяйствующих субъектов, участвующих в торгах, осуществляется с учетом требований, которые установлены Законом о контракт</w:t>
      </w:r>
      <w:r>
        <w:rPr>
          <w:color w:val="000000"/>
          <w:sz w:val="28"/>
          <w:szCs w:val="28"/>
        </w:rPr>
        <w:t>ной системе.</w:t>
      </w:r>
    </w:p>
    <w:p w:rsidR="0056175F" w:rsidRDefault="00357B47">
      <w:pPr>
        <w:pStyle w:val="Textbody"/>
        <w:spacing w:after="0" w:line="360" w:lineRule="auto"/>
        <w:ind w:firstLine="705"/>
        <w:jc w:val="both"/>
      </w:pPr>
      <w:bookmarkStart w:id="1" w:name="_Toc450899678"/>
      <w:bookmarkStart w:id="2" w:name="_Toc456362728"/>
      <w:bookmarkStart w:id="3" w:name="__RefHeading__8571_1222083370"/>
      <w:bookmarkEnd w:id="1"/>
      <w:bookmarkEnd w:id="2"/>
      <w:r>
        <w:rPr>
          <w:color w:val="000000"/>
          <w:sz w:val="28"/>
          <w:szCs w:val="28"/>
        </w:rPr>
        <w:t>В соответствии с пунктом</w:t>
      </w:r>
      <w:r>
        <w:rPr>
          <w:color w:val="000000"/>
          <w:sz w:val="28"/>
        </w:rPr>
        <w:t xml:space="preserve"> 4 статьи 3 Закона о контрактной системе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</w:t>
      </w:r>
      <w:r>
        <w:rPr>
          <w:color w:val="000000"/>
          <w:sz w:val="28"/>
        </w:rPr>
        <w:t>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</w:t>
      </w:r>
      <w:r>
        <w:rPr>
          <w:color w:val="000000"/>
          <w:sz w:val="28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</w:t>
      </w:r>
      <w:r>
        <w:rPr>
          <w:color w:val="000000"/>
          <w:sz w:val="28"/>
        </w:rPr>
        <w:lastRenderedPageBreak/>
        <w:t>офшорная компания), или любое физическое лицо, в том числе зарегистр</w:t>
      </w:r>
      <w:r>
        <w:rPr>
          <w:color w:val="000000"/>
          <w:sz w:val="28"/>
        </w:rPr>
        <w:t>ированное в качестве индивидуального предпринимателя.</w:t>
      </w:r>
      <w:bookmarkEnd w:id="3"/>
    </w:p>
    <w:p w:rsidR="0056175F" w:rsidRDefault="00357B47">
      <w:pPr>
        <w:pStyle w:val="1"/>
        <w:spacing w:line="360" w:lineRule="auto"/>
        <w:ind w:firstLine="705"/>
        <w:jc w:val="both"/>
        <w:rPr>
          <w:b w:val="0"/>
          <w:bCs w:val="0"/>
          <w:color w:val="000000"/>
          <w:sz w:val="28"/>
        </w:rPr>
      </w:pPr>
      <w:r>
        <w:rPr>
          <w:b w:val="0"/>
          <w:bCs w:val="0"/>
          <w:color w:val="000000"/>
          <w:sz w:val="28"/>
        </w:rPr>
        <w:t>Согласно пункту 7 статьи 3 Закона о контрактной системе заказчик - государственный или муниципальный заказчик либо в соответствии с частью 1 статьи 15 Закона о контрактной системе – бюджетное учреждение</w:t>
      </w:r>
      <w:r>
        <w:rPr>
          <w:b w:val="0"/>
          <w:bCs w:val="0"/>
          <w:color w:val="000000"/>
          <w:sz w:val="28"/>
        </w:rPr>
        <w:t>, осуществляющие закупки.</w:t>
      </w:r>
    </w:p>
    <w:p w:rsidR="0056175F" w:rsidRDefault="00357B47">
      <w:pPr>
        <w:pStyle w:val="Textbody"/>
        <w:spacing w:line="360" w:lineRule="auto"/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участников рассматриваемых аукционов определен на основании сведений, полученных от электронной торговой площадки ООО «РТС-Тендер».</w:t>
      </w:r>
    </w:p>
    <w:p w:rsidR="0056175F" w:rsidRDefault="00357B47">
      <w:pPr>
        <w:pStyle w:val="Textbody"/>
        <w:spacing w:line="360" w:lineRule="auto"/>
        <w:ind w:firstLine="705"/>
        <w:jc w:val="both"/>
      </w:pPr>
      <w:r>
        <w:rPr>
          <w:color w:val="000000"/>
          <w:sz w:val="28"/>
        </w:rPr>
        <w:t xml:space="preserve">Установлено, что хозяйствующими субъектами, участвующими в торгах, в отношении которых </w:t>
      </w:r>
      <w:r>
        <w:rPr>
          <w:color w:val="000000"/>
          <w:sz w:val="28"/>
        </w:rPr>
        <w:t xml:space="preserve">проводится настоящее исследование, являются: </w:t>
      </w:r>
      <w:r>
        <w:rPr>
          <w:i/>
          <w:iCs/>
          <w:color w:val="000000"/>
          <w:sz w:val="28"/>
          <w:szCs w:val="28"/>
        </w:rPr>
        <w:t>ООО «Компонент» (ИНН: 7804184537), ООО «</w:t>
      </w:r>
      <w:proofErr w:type="spellStart"/>
      <w:r>
        <w:rPr>
          <w:i/>
          <w:iCs/>
          <w:color w:val="000000"/>
          <w:sz w:val="28"/>
          <w:szCs w:val="28"/>
        </w:rPr>
        <w:t>Экобалт</w:t>
      </w:r>
      <w:proofErr w:type="spellEnd"/>
      <w:r>
        <w:rPr>
          <w:i/>
          <w:iCs/>
          <w:color w:val="000000"/>
          <w:sz w:val="28"/>
          <w:szCs w:val="28"/>
        </w:rPr>
        <w:t>» (ИНН: 7804546709), ООО «</w:t>
      </w:r>
      <w:proofErr w:type="spellStart"/>
      <w:r>
        <w:rPr>
          <w:i/>
          <w:iCs/>
          <w:color w:val="000000"/>
          <w:sz w:val="28"/>
          <w:szCs w:val="28"/>
        </w:rPr>
        <w:t>РусКомплекс</w:t>
      </w:r>
      <w:proofErr w:type="spellEnd"/>
      <w:r>
        <w:rPr>
          <w:i/>
          <w:iCs/>
          <w:color w:val="000000"/>
          <w:sz w:val="28"/>
          <w:szCs w:val="28"/>
        </w:rPr>
        <w:t>» (ИНН: 7804540778), ООО «</w:t>
      </w:r>
      <w:proofErr w:type="spellStart"/>
      <w:r>
        <w:rPr>
          <w:i/>
          <w:iCs/>
          <w:color w:val="000000"/>
          <w:sz w:val="28"/>
          <w:szCs w:val="28"/>
        </w:rPr>
        <w:t>Спецресурс</w:t>
      </w:r>
      <w:proofErr w:type="spellEnd"/>
      <w:r>
        <w:rPr>
          <w:i/>
          <w:iCs/>
          <w:color w:val="000000"/>
          <w:sz w:val="28"/>
          <w:szCs w:val="28"/>
        </w:rPr>
        <w:t>» (ИНН: 7839478506), ООО «</w:t>
      </w:r>
      <w:proofErr w:type="spellStart"/>
      <w:r>
        <w:rPr>
          <w:i/>
          <w:iCs/>
          <w:color w:val="000000"/>
          <w:sz w:val="28"/>
          <w:szCs w:val="28"/>
        </w:rPr>
        <w:t>Мегалайн</w:t>
      </w:r>
      <w:proofErr w:type="spellEnd"/>
      <w:r>
        <w:rPr>
          <w:i/>
          <w:iCs/>
          <w:color w:val="000000"/>
          <w:sz w:val="28"/>
          <w:szCs w:val="28"/>
        </w:rPr>
        <w:t xml:space="preserve">» (ИНН: 7802742962),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ООО «Белый медведь» (ИНН: 7717797015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), ООО «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Коралклин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(ИНН: 7717797086), ООО «Миллениум клин» (ИНН: 7717798330).</w:t>
      </w:r>
    </w:p>
    <w:p w:rsidR="0056175F" w:rsidRDefault="00357B47">
      <w:pPr>
        <w:pStyle w:val="Textbody"/>
        <w:spacing w:after="0" w:line="360" w:lineRule="auto"/>
        <w:ind w:firstLine="690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Согласно сведениям, содержащимся в ЕГРЮЛ, основными направлениями деятельности вышеназванных обществ является оказание различных видов услуг, в том числе чистка и уборка производ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ственных и жилых помещений, оборудования и транспортных средств, строительство зданий и сооружений и прочие услуги.</w:t>
      </w:r>
    </w:p>
    <w:p w:rsidR="0056175F" w:rsidRDefault="00357B47">
      <w:pPr>
        <w:pStyle w:val="Standard"/>
        <w:spacing w:line="360" w:lineRule="auto"/>
        <w:ind w:firstLine="835"/>
        <w:jc w:val="both"/>
      </w:pPr>
      <w:r>
        <w:rPr>
          <w:rFonts w:cs="Times New Roman"/>
          <w:sz w:val="28"/>
          <w:szCs w:val="28"/>
        </w:rPr>
        <w:t xml:space="preserve">Управлением установлено, что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ООО «Компонент»,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Экобалт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РусКомплекс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Мегалайн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Спецресурс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на момент подготовки данно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го аналитического отчета</w:t>
      </w:r>
      <w:r>
        <w:rPr>
          <w:rFonts w:cs="Times New Roman"/>
          <w:sz w:val="28"/>
          <w:szCs w:val="28"/>
        </w:rPr>
        <w:t xml:space="preserve"> входят в одну группу лиц в соответствии с </w:t>
      </w:r>
      <w:r>
        <w:rPr>
          <w:rFonts w:cs="Times New Roman"/>
          <w:b/>
          <w:sz w:val="28"/>
          <w:szCs w:val="28"/>
        </w:rPr>
        <w:t>частью 7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статьи 11 Закона о защите конкуренции.</w:t>
      </w:r>
      <w:r>
        <w:t xml:space="preserve"> </w:t>
      </w:r>
      <w:r>
        <w:rPr>
          <w:sz w:val="28"/>
          <w:szCs w:val="28"/>
        </w:rPr>
        <w:t xml:space="preserve">Остальные субъекты, в отношении которых проводится настоящее исследование, а именно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ООО «Белый медведь»,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Коралклин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«Миллениум клин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», на момент подготовки данного аналитического отчета</w:t>
      </w:r>
      <w:r>
        <w:rPr>
          <w:rFonts w:cs="Times New Roman"/>
          <w:sz w:val="28"/>
          <w:szCs w:val="28"/>
        </w:rPr>
        <w:t xml:space="preserve"> не входят в одну группу лиц, а также не входят в одну группу лиц 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ООО «Компонент»,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Экобалт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РусКомплекс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Мегалайн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Спецресурс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cs="Times New Roman"/>
          <w:sz w:val="28"/>
          <w:szCs w:val="28"/>
        </w:rPr>
        <w:t xml:space="preserve">в соответствии со </w:t>
      </w:r>
      <w:r>
        <w:rPr>
          <w:rFonts w:cs="Times New Roman"/>
          <w:b/>
          <w:bCs/>
          <w:sz w:val="28"/>
          <w:szCs w:val="28"/>
        </w:rPr>
        <w:t>статьей 9 Закона о защите конкуре</w:t>
      </w:r>
      <w:r>
        <w:rPr>
          <w:rFonts w:cs="Times New Roman"/>
          <w:b/>
          <w:bCs/>
          <w:sz w:val="28"/>
          <w:szCs w:val="28"/>
        </w:rPr>
        <w:t>нции.</w:t>
      </w:r>
    </w:p>
    <w:p w:rsidR="0056175F" w:rsidRDefault="00357B4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       Таким образом, во время проведения рассматриваемых аукционов условия о допустимости соглашений, установленные в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части 7 статьи 11 Закона о защите конкуренции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на ООО «Белый медведь»,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Коралклин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«Миллениум клин» и группу лиц в составе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ООО «Компонент»,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Экобалт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РусКомплекс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Мегалайн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Спецресурс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» не распространялись, и при участии в аукционах данные хозяйствующие субъекты должны были соблюдать требование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пункта 2 части 1 статьи 11 Закона о защите конкуренции.</w:t>
      </w:r>
    </w:p>
    <w:p w:rsidR="0056175F" w:rsidRDefault="00357B47">
      <w:pPr>
        <w:pStyle w:val="Standard"/>
        <w:shd w:val="clear" w:color="auto" w:fill="FFFFFF"/>
        <w:spacing w:line="360" w:lineRule="auto"/>
        <w:ind w:firstLine="709"/>
        <w:jc w:val="both"/>
      </w:pPr>
      <w:bookmarkStart w:id="4" w:name="_Toc450899679"/>
      <w:bookmarkStart w:id="5" w:name="_Toc456362729"/>
      <w:bookmarkStart w:id="6" w:name="__RefHeading__8573_1222083370"/>
      <w:bookmarkEnd w:id="4"/>
      <w:bookmarkEnd w:id="5"/>
      <w:r>
        <w:rPr>
          <w:rFonts w:cs="Times New Roman"/>
          <w:i/>
          <w:color w:val="000000"/>
          <w:sz w:val="28"/>
          <w:szCs w:val="28"/>
        </w:rPr>
        <w:t xml:space="preserve">Состав участников ОАЭФ определён, как состав хозяйствующих субъектов, </w:t>
      </w:r>
      <w:r>
        <w:rPr>
          <w:rFonts w:cs="Times New Roman"/>
          <w:bCs/>
          <w:i/>
          <w:color w:val="000000"/>
          <w:sz w:val="28"/>
          <w:szCs w:val="28"/>
        </w:rPr>
        <w:t>которые принимали участие в электронных аукционах, не отозвали свои заявки, и чьи заявки не были отклонены (по 1-м частям).</w:t>
      </w:r>
    </w:p>
    <w:p w:rsidR="0056175F" w:rsidRDefault="00357B47">
      <w:pPr>
        <w:pStyle w:val="1"/>
        <w:jc w:val="center"/>
      </w:pPr>
      <w:r>
        <w:rPr>
          <w:rFonts w:cs="Times New Roman"/>
          <w:color w:val="00000A"/>
          <w:sz w:val="28"/>
          <w:szCs w:val="28"/>
          <w:shd w:val="clear" w:color="auto" w:fill="FFFFFF"/>
        </w:rPr>
        <w:t>6. Анализ ОАЭФ</w:t>
      </w:r>
      <w:bookmarkEnd w:id="6"/>
    </w:p>
    <w:p w:rsidR="0056175F" w:rsidRDefault="0056175F">
      <w:pPr>
        <w:pStyle w:val="Textbody"/>
        <w:spacing w:line="276" w:lineRule="auto"/>
        <w:ind w:firstLine="539"/>
        <w:jc w:val="both"/>
      </w:pPr>
    </w:p>
    <w:p w:rsidR="0056175F" w:rsidRDefault="00357B47">
      <w:pPr>
        <w:pStyle w:val="Textbody"/>
        <w:spacing w:after="0" w:line="360" w:lineRule="auto"/>
        <w:ind w:firstLine="690"/>
        <w:jc w:val="both"/>
      </w:pPr>
      <w:r>
        <w:rPr>
          <w:sz w:val="28"/>
        </w:rPr>
        <w:t xml:space="preserve">Исследование проводилось в отношении 8 </w:t>
      </w:r>
      <w:r>
        <w:rPr>
          <w:sz w:val="28"/>
        </w:rPr>
        <w:t xml:space="preserve">открытых аукционов в электронной форме на оказание услуг по </w:t>
      </w:r>
      <w:r>
        <w:rPr>
          <w:color w:val="000000"/>
          <w:sz w:val="28"/>
          <w:szCs w:val="28"/>
          <w:shd w:val="clear" w:color="auto" w:fill="FFFFFF"/>
        </w:rPr>
        <w:t xml:space="preserve">санитарному содержанию и техническому обслуживанию военных городков,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довузовских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общеобразовательных учреждений и военно-медицинских учреждений, санаторно-курортных комплексов, подведомственных Ми</w:t>
      </w:r>
      <w:r>
        <w:rPr>
          <w:color w:val="000000"/>
          <w:sz w:val="28"/>
          <w:szCs w:val="28"/>
          <w:shd w:val="clear" w:color="auto" w:fill="FFFFFF"/>
        </w:rPr>
        <w:t>нистерству обороны Российской Федерации в 2015 -2016 гг.</w:t>
      </w:r>
    </w:p>
    <w:p w:rsidR="0056175F" w:rsidRDefault="00357B47">
      <w:pPr>
        <w:pStyle w:val="Textbody"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В Приложении №1 приведены результаты исследования конкуренции при проведении указанных электронных аукционов.</w:t>
      </w:r>
    </w:p>
    <w:p w:rsidR="0056175F" w:rsidRDefault="00357B47">
      <w:pPr>
        <w:pStyle w:val="Textbody"/>
        <w:spacing w:line="276" w:lineRule="auto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Вывод</w:t>
      </w:r>
    </w:p>
    <w:p w:rsidR="0056175F" w:rsidRDefault="0056175F">
      <w:pPr>
        <w:pStyle w:val="Textbody"/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:rsidR="0056175F" w:rsidRDefault="00357B47">
      <w:pPr>
        <w:pStyle w:val="Textbody"/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результатам исследования состояния конкуренции при проведении 8 открытых аук</w:t>
      </w:r>
      <w:r>
        <w:rPr>
          <w:color w:val="000000"/>
          <w:sz w:val="28"/>
        </w:rPr>
        <w:t>ционов в электронной форме было установлено:</w:t>
      </w:r>
    </w:p>
    <w:p w:rsidR="0056175F" w:rsidRDefault="00357B47">
      <w:pPr>
        <w:pStyle w:val="Textbody"/>
        <w:spacing w:after="0" w:line="360" w:lineRule="auto"/>
        <w:ind w:firstLine="555"/>
        <w:jc w:val="both"/>
      </w:pPr>
      <w:r>
        <w:rPr>
          <w:sz w:val="28"/>
        </w:rPr>
        <w:t>1</w:t>
      </w:r>
      <w:r>
        <w:rPr>
          <w:sz w:val="28"/>
          <w:shd w:val="clear" w:color="auto" w:fill="FFFFFF"/>
        </w:rPr>
        <w:t xml:space="preserve">) Временной интервал по каждому из рассматриваемых ОАЭФ определен с даты опубликования извещения до даты окончания исполнения контракта. Все аукционы проходили в период с </w:t>
      </w:r>
      <w:r>
        <w:rPr>
          <w:color w:val="000000"/>
          <w:sz w:val="28"/>
          <w:szCs w:val="28"/>
          <w:shd w:val="clear" w:color="auto" w:fill="FFFFFF"/>
        </w:rPr>
        <w:t>12.05.2015 г. по 18.05.2015 г., и неско</w:t>
      </w:r>
      <w:r>
        <w:rPr>
          <w:color w:val="000000"/>
          <w:sz w:val="28"/>
          <w:szCs w:val="28"/>
          <w:shd w:val="clear" w:color="auto" w:fill="FFFFFF"/>
        </w:rPr>
        <w:t xml:space="preserve">лько контрактов, заключенных по итогам проведения рассматриваемых аукционов, находятся на </w:t>
      </w:r>
      <w:r>
        <w:rPr>
          <w:sz w:val="28"/>
          <w:shd w:val="clear" w:color="auto" w:fill="FFFFFF"/>
        </w:rPr>
        <w:t xml:space="preserve">исполнении. Соответственно, общий период исследования </w:t>
      </w:r>
      <w:r>
        <w:rPr>
          <w:sz w:val="28"/>
          <w:shd w:val="clear" w:color="auto" w:fill="FFFFFF"/>
        </w:rPr>
        <w:lastRenderedPageBreak/>
        <w:t>определяется с 12.05.2015 г. по 13.04.2017 г. (момент подготовки настоящего отчета).</w:t>
      </w:r>
    </w:p>
    <w:p w:rsidR="0056175F" w:rsidRDefault="00357B47">
      <w:pPr>
        <w:pStyle w:val="Textbody"/>
        <w:spacing w:after="0" w:line="360" w:lineRule="auto"/>
        <w:ind w:firstLine="690"/>
        <w:jc w:val="both"/>
      </w:pPr>
      <w:r>
        <w:rPr>
          <w:sz w:val="28"/>
          <w:shd w:val="clear" w:color="auto" w:fill="FFFFFF"/>
        </w:rPr>
        <w:t xml:space="preserve">2) </w:t>
      </w:r>
      <w:r>
        <w:rPr>
          <w:color w:val="000000"/>
          <w:sz w:val="28"/>
          <w:szCs w:val="28"/>
        </w:rPr>
        <w:t>В обобщенном виде объект</w:t>
      </w:r>
      <w:r>
        <w:rPr>
          <w:color w:val="000000"/>
          <w:sz w:val="28"/>
          <w:szCs w:val="28"/>
        </w:rPr>
        <w:t xml:space="preserve">ом закупки всех исследованных аукционов является оказание услуг </w:t>
      </w:r>
      <w:r>
        <w:rPr>
          <w:sz w:val="28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 xml:space="preserve">санитарному содержанию и техническому обслуживанию военных городков,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довузовских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общеобразовательных учреждений и военно-медицинских учреждений, санаторно-курортных комплексов, подведомстве</w:t>
      </w:r>
      <w:r>
        <w:rPr>
          <w:color w:val="000000"/>
          <w:sz w:val="28"/>
          <w:szCs w:val="28"/>
          <w:shd w:val="clear" w:color="auto" w:fill="FFFFFF"/>
        </w:rPr>
        <w:t>нных Министерству обороны Российской Федерации в 2015 -2016 гг.</w:t>
      </w:r>
    </w:p>
    <w:p w:rsidR="0056175F" w:rsidRDefault="00357B47">
      <w:pPr>
        <w:pStyle w:val="Textbody"/>
        <w:spacing w:after="0" w:line="360" w:lineRule="auto"/>
        <w:ind w:firstLine="555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3) Состав участников ОАЭФ определён как состав хозяйствующих субъектов, которые принимали участие в электронных аукционах, не отозвали свои заявки, и чьи заявки не были отклонены (по 1-м частя</w:t>
      </w:r>
      <w:r>
        <w:rPr>
          <w:sz w:val="28"/>
          <w:shd w:val="clear" w:color="auto" w:fill="FFFFFF"/>
        </w:rPr>
        <w:t>м). Состав хозяйствующих субъектов (участников - конкурентов) по каждому из аукционов приведен в Приложении № 1 к данному отчету.</w:t>
      </w:r>
    </w:p>
    <w:p w:rsidR="0056175F" w:rsidRDefault="00357B47">
      <w:pPr>
        <w:pStyle w:val="Textbody"/>
        <w:spacing w:after="0" w:line="360" w:lineRule="auto"/>
        <w:ind w:firstLine="555"/>
        <w:jc w:val="both"/>
      </w:pPr>
      <w:r>
        <w:rPr>
          <w:sz w:val="28"/>
          <w:shd w:val="clear" w:color="auto" w:fill="FFFFFF"/>
        </w:rPr>
        <w:t>4)  </w:t>
      </w:r>
      <w:r>
        <w:rPr>
          <w:sz w:val="28"/>
        </w:rPr>
        <w:t xml:space="preserve">Анализ проведен в объеме, необходимом для полного, всестороннего и объективного рассмотрения дела № </w:t>
      </w:r>
      <w:r>
        <w:rPr>
          <w:sz w:val="28"/>
          <w:u w:val="single"/>
        </w:rPr>
        <w:t>1-00-110/00-22-16</w:t>
      </w:r>
      <w:r>
        <w:rPr>
          <w:sz w:val="28"/>
        </w:rPr>
        <w:t xml:space="preserve"> и пр</w:t>
      </w:r>
      <w:r>
        <w:rPr>
          <w:sz w:val="28"/>
        </w:rPr>
        <w:t>инятия решения о наличии или об отсутствии нарушения антимонопольного законодательства.</w:t>
      </w:r>
    </w:p>
    <w:p w:rsidR="0056175F" w:rsidRDefault="0056175F">
      <w:pPr>
        <w:pStyle w:val="Textbody"/>
        <w:spacing w:after="0" w:line="360" w:lineRule="auto"/>
        <w:ind w:firstLine="555"/>
        <w:jc w:val="both"/>
        <w:rPr>
          <w:sz w:val="28"/>
          <w:szCs w:val="28"/>
        </w:rPr>
      </w:pPr>
    </w:p>
    <w:sectPr w:rsidR="0056175F">
      <w:headerReference w:type="default" r:id="rId9"/>
      <w:pgSz w:w="11906" w:h="16838"/>
      <w:pgMar w:top="720" w:right="1134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47" w:rsidRDefault="00357B47">
      <w:r>
        <w:separator/>
      </w:r>
    </w:p>
  </w:endnote>
  <w:endnote w:type="continuationSeparator" w:id="0">
    <w:p w:rsidR="00357B47" w:rsidRDefault="0035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47" w:rsidRDefault="00357B47">
      <w:r>
        <w:rPr>
          <w:color w:val="000000"/>
        </w:rPr>
        <w:separator/>
      </w:r>
    </w:p>
  </w:footnote>
  <w:footnote w:type="continuationSeparator" w:id="0">
    <w:p w:rsidR="00357B47" w:rsidRDefault="0035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37" w:rsidRDefault="00357B4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E21A07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175F"/>
    <w:rsid w:val="0031635A"/>
    <w:rsid w:val="00357B47"/>
    <w:rsid w:val="0056175F"/>
    <w:rsid w:val="00E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2365-1ECE-4467-8F61-3DB768E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paragraph" w:styleId="a9">
    <w:name w:val="footnote text"/>
    <w:basedOn w:val="Standard"/>
    <w:pPr>
      <w:widowControl/>
    </w:pPr>
    <w:rPr>
      <w:rFonts w:ascii="Calibri" w:hAnsi="Calibri" w:cs="Calibri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rPr>
      <w:rFonts w:ascii="Calibri" w:hAnsi="Calibri" w:cs="Calibri"/>
      <w:sz w:val="20"/>
      <w:szCs w:val="20"/>
      <w:lang w:eastAsia="en-US" w:bidi="ar-SA"/>
    </w:rPr>
  </w:style>
  <w:style w:type="paragraph" w:customStyle="1" w:styleId="Footnote">
    <w:name w:val="Footnote"/>
    <w:basedOn w:val="Standard"/>
    <w:pPr>
      <w:widowControl/>
      <w:suppressLineNumbers/>
      <w:spacing w:after="160" w:line="249" w:lineRule="auto"/>
      <w:ind w:left="283" w:hanging="283"/>
    </w:pPr>
    <w:rPr>
      <w:rFonts w:ascii="Calibri" w:hAnsi="Calibri" w:cs="Calibri"/>
      <w:sz w:val="20"/>
      <w:szCs w:val="20"/>
      <w:lang w:eastAsia="en-US" w:bidi="ar-SA"/>
    </w:rPr>
  </w:style>
  <w:style w:type="character" w:styleId="ab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957378426ED95399C8807989E05030FCD91E6EACFD3242E1C95CD084818764CFC9C2F6FEF2CE9Y3i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957378426ED95399C8807989E05030FCD91E6EACFD3242E1C95CD084818764CFC9C2F6FEF2CEFY3i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Франскевич Ольга Павловна</dc:creator>
  <cp:lastModifiedBy>Старостович Полина Васильевна</cp:lastModifiedBy>
  <cp:revision>3</cp:revision>
  <cp:lastPrinted>2017-04-13T13:31:00Z</cp:lastPrinted>
  <dcterms:created xsi:type="dcterms:W3CDTF">2017-05-23T12:28:00Z</dcterms:created>
  <dcterms:modified xsi:type="dcterms:W3CDTF">2017-05-23T12:30:00Z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