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EB" w:rsidRDefault="009F3BEB" w:rsidP="009F3BEB">
      <w:pPr>
        <w:pStyle w:val="a6"/>
        <w:spacing w:after="0"/>
        <w:jc w:val="center"/>
        <w:rPr>
          <w:sz w:val="27"/>
          <w:szCs w:val="27"/>
        </w:rPr>
      </w:pPr>
    </w:p>
    <w:p w:rsidR="009F3BEB" w:rsidRDefault="009F3BEB" w:rsidP="009F3BEB">
      <w:pPr>
        <w:pStyle w:val="a6"/>
        <w:spacing w:after="0"/>
        <w:jc w:val="center"/>
        <w:rPr>
          <w:sz w:val="27"/>
          <w:szCs w:val="27"/>
        </w:rPr>
      </w:pPr>
    </w:p>
    <w:p w:rsidR="009F3BEB" w:rsidRDefault="009F3BEB" w:rsidP="009F3BEB">
      <w:pPr>
        <w:pStyle w:val="a6"/>
        <w:spacing w:after="0"/>
        <w:jc w:val="center"/>
        <w:rPr>
          <w:sz w:val="27"/>
          <w:szCs w:val="27"/>
        </w:rPr>
      </w:pPr>
    </w:p>
    <w:p w:rsidR="009F3BEB" w:rsidRDefault="009F3BEB" w:rsidP="009F3BEB">
      <w:pPr>
        <w:pStyle w:val="a6"/>
        <w:spacing w:after="0"/>
        <w:jc w:val="center"/>
        <w:rPr>
          <w:sz w:val="27"/>
          <w:szCs w:val="27"/>
        </w:rPr>
      </w:pPr>
    </w:p>
    <w:p w:rsidR="009F3BEB" w:rsidRDefault="009F3BEB" w:rsidP="009F3BEB">
      <w:pPr>
        <w:pStyle w:val="a6"/>
        <w:spacing w:after="0"/>
        <w:jc w:val="center"/>
        <w:rPr>
          <w:sz w:val="27"/>
          <w:szCs w:val="27"/>
          <w:lang w:val="en-US"/>
        </w:rPr>
      </w:pPr>
    </w:p>
    <w:p w:rsidR="00C969FC" w:rsidRDefault="00C969FC" w:rsidP="009F3BEB">
      <w:pPr>
        <w:pStyle w:val="a6"/>
        <w:spacing w:after="0"/>
        <w:jc w:val="center"/>
        <w:rPr>
          <w:sz w:val="27"/>
          <w:szCs w:val="27"/>
          <w:lang w:val="en-US"/>
        </w:rPr>
      </w:pPr>
    </w:p>
    <w:p w:rsidR="00C969FC" w:rsidRPr="00C969FC" w:rsidRDefault="00C969FC" w:rsidP="009F3BEB">
      <w:pPr>
        <w:pStyle w:val="a6"/>
        <w:spacing w:after="0"/>
        <w:jc w:val="center"/>
        <w:rPr>
          <w:sz w:val="27"/>
          <w:szCs w:val="27"/>
          <w:lang w:val="en-US"/>
        </w:rPr>
      </w:pPr>
    </w:p>
    <w:p w:rsidR="009F3BEB" w:rsidRDefault="009F3BEB" w:rsidP="009F3BEB">
      <w:pPr>
        <w:pStyle w:val="a6"/>
        <w:spacing w:after="0"/>
        <w:rPr>
          <w:sz w:val="27"/>
          <w:szCs w:val="27"/>
        </w:rPr>
      </w:pPr>
    </w:p>
    <w:p w:rsidR="009F3BEB" w:rsidRPr="009F3BEB" w:rsidRDefault="009F3BEB" w:rsidP="009F3BEB">
      <w:pPr>
        <w:pStyle w:val="a6"/>
        <w:spacing w:before="0" w:beforeAutospacing="0" w:after="0"/>
        <w:rPr>
          <w:sz w:val="28"/>
          <w:szCs w:val="28"/>
        </w:rPr>
      </w:pPr>
      <w:r w:rsidRPr="009F3BEB">
        <w:rPr>
          <w:b/>
          <w:bCs/>
          <w:sz w:val="28"/>
          <w:szCs w:val="28"/>
        </w:rPr>
        <w:t>от 21.10.2013 № 05/41187/13</w:t>
      </w:r>
    </w:p>
    <w:p w:rsidR="009F3BEB" w:rsidRDefault="009F3BEB" w:rsidP="009F3BEB">
      <w:pPr>
        <w:pStyle w:val="a6"/>
        <w:spacing w:before="0" w:beforeAutospacing="0" w:after="0"/>
        <w:jc w:val="center"/>
        <w:rPr>
          <w:sz w:val="27"/>
          <w:szCs w:val="27"/>
        </w:rPr>
      </w:pPr>
    </w:p>
    <w:p w:rsidR="009F3BEB" w:rsidRDefault="009F3BEB" w:rsidP="009F3BEB">
      <w:pPr>
        <w:pStyle w:val="a6"/>
        <w:spacing w:before="0" w:beforeAutospacing="0" w:after="0"/>
        <w:jc w:val="center"/>
        <w:rPr>
          <w:sz w:val="27"/>
          <w:szCs w:val="27"/>
        </w:rPr>
      </w:pPr>
    </w:p>
    <w:p w:rsidR="009F3BEB" w:rsidRPr="009F3BEB" w:rsidRDefault="009F3BEB" w:rsidP="009F3BEB">
      <w:pPr>
        <w:pStyle w:val="a6"/>
        <w:spacing w:before="0" w:beforeAutospacing="0" w:after="0"/>
        <w:jc w:val="center"/>
        <w:rPr>
          <w:sz w:val="28"/>
          <w:szCs w:val="28"/>
        </w:rPr>
      </w:pPr>
      <w:r w:rsidRPr="009F3BEB">
        <w:rPr>
          <w:sz w:val="28"/>
          <w:szCs w:val="28"/>
        </w:rPr>
        <w:t>РЕШЕНИЕ</w:t>
      </w:r>
    </w:p>
    <w:p w:rsidR="009F3BEB" w:rsidRPr="009F3BEB" w:rsidRDefault="009F3BEB" w:rsidP="009F3BEB">
      <w:pPr>
        <w:pStyle w:val="a6"/>
        <w:spacing w:before="0" w:beforeAutospacing="0" w:after="0"/>
        <w:jc w:val="center"/>
        <w:rPr>
          <w:sz w:val="28"/>
          <w:szCs w:val="28"/>
        </w:rPr>
      </w:pPr>
      <w:r w:rsidRPr="009F3BEB">
        <w:rPr>
          <w:sz w:val="28"/>
          <w:szCs w:val="28"/>
        </w:rPr>
        <w:t>по делу № 1-15-141/00-05-13</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jc w:val="both"/>
        <w:rPr>
          <w:sz w:val="28"/>
          <w:szCs w:val="28"/>
        </w:rPr>
      </w:pPr>
      <w:r w:rsidRPr="009F3BEB">
        <w:rPr>
          <w:sz w:val="28"/>
          <w:szCs w:val="28"/>
        </w:rPr>
        <w:t xml:space="preserve">«17» октября 2013 г. </w:t>
      </w:r>
      <w:r>
        <w:rPr>
          <w:sz w:val="28"/>
          <w:szCs w:val="28"/>
        </w:rPr>
        <w:t xml:space="preserve">                                                                                     </w:t>
      </w:r>
      <w:r w:rsidRPr="009F3BEB">
        <w:rPr>
          <w:sz w:val="28"/>
          <w:szCs w:val="28"/>
        </w:rPr>
        <w:t>г. Москва</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Резолютивная часть решения оглашена «03» октября 2013 г.</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В полном объеме решение изготовлено «17» октября 2013 г.</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Комиссия Федеральной антимонопольной службы по рассмотрению дела о нарушении антимонопольного законодательства в составе: Председателя Комиссии – начальника Управления контроля промышленности и оборонного комплекса </w:t>
      </w:r>
      <w:proofErr w:type="spellStart"/>
      <w:r w:rsidRPr="009F3BEB">
        <w:rPr>
          <w:sz w:val="28"/>
          <w:szCs w:val="28"/>
        </w:rPr>
        <w:t>Овчинникова</w:t>
      </w:r>
      <w:proofErr w:type="spellEnd"/>
      <w:r w:rsidRPr="009F3BEB">
        <w:rPr>
          <w:sz w:val="28"/>
          <w:szCs w:val="28"/>
        </w:rPr>
        <w:t xml:space="preserve"> М.А.; членов Комиссии: начальника </w:t>
      </w:r>
      <w:proofErr w:type="gramStart"/>
      <w:r w:rsidRPr="009F3BEB">
        <w:rPr>
          <w:sz w:val="28"/>
          <w:szCs w:val="28"/>
        </w:rPr>
        <w:t>отдела металлургии Управления контроля промышленности</w:t>
      </w:r>
      <w:proofErr w:type="gramEnd"/>
      <w:r w:rsidRPr="009F3BEB">
        <w:rPr>
          <w:sz w:val="28"/>
          <w:szCs w:val="28"/>
        </w:rPr>
        <w:t xml:space="preserve"> и оборонного комплекса </w:t>
      </w:r>
      <w:proofErr w:type="spellStart"/>
      <w:r w:rsidRPr="009F3BEB">
        <w:rPr>
          <w:sz w:val="28"/>
          <w:szCs w:val="28"/>
        </w:rPr>
        <w:t>Галимхановой</w:t>
      </w:r>
      <w:proofErr w:type="spellEnd"/>
      <w:r w:rsidRPr="009F3BEB">
        <w:rPr>
          <w:sz w:val="28"/>
          <w:szCs w:val="28"/>
        </w:rPr>
        <w:t xml:space="preserve"> Н.Ф., заместителя начальника отдела судебной работы Правового управления Зайцевой Н.Н., заместителя начальника отдела металлургии Управления контроля промышленности и оборонного комплекса </w:t>
      </w:r>
      <w:proofErr w:type="spellStart"/>
      <w:r w:rsidRPr="009F3BEB">
        <w:rPr>
          <w:sz w:val="28"/>
          <w:szCs w:val="28"/>
        </w:rPr>
        <w:t>Таваковой</w:t>
      </w:r>
      <w:proofErr w:type="spellEnd"/>
      <w:r w:rsidRPr="009F3BEB">
        <w:rPr>
          <w:sz w:val="28"/>
          <w:szCs w:val="28"/>
        </w:rPr>
        <w:t xml:space="preserve"> К.О., главного государственного инспектора отдела методологии и оптимизации </w:t>
      </w:r>
      <w:proofErr w:type="gramStart"/>
      <w:r w:rsidRPr="009F3BEB">
        <w:rPr>
          <w:sz w:val="28"/>
          <w:szCs w:val="28"/>
        </w:rPr>
        <w:t>деятельности Управления контроля органов власти</w:t>
      </w:r>
      <w:proofErr w:type="gramEnd"/>
      <w:r w:rsidRPr="009F3BEB">
        <w:rPr>
          <w:sz w:val="28"/>
          <w:szCs w:val="28"/>
        </w:rPr>
        <w:t xml:space="preserve"> </w:t>
      </w:r>
      <w:r w:rsidR="00FA209A" w:rsidRPr="00FA209A">
        <w:rPr>
          <w:sz w:val="28"/>
          <w:szCs w:val="28"/>
        </w:rPr>
        <w:t xml:space="preserve">           </w:t>
      </w:r>
      <w:proofErr w:type="spellStart"/>
      <w:r w:rsidRPr="009F3BEB">
        <w:rPr>
          <w:sz w:val="28"/>
          <w:szCs w:val="28"/>
        </w:rPr>
        <w:t>Николайзен</w:t>
      </w:r>
      <w:proofErr w:type="spellEnd"/>
      <w:r w:rsidRPr="009F3BEB">
        <w:rPr>
          <w:sz w:val="28"/>
          <w:szCs w:val="28"/>
        </w:rPr>
        <w:t xml:space="preserve"> Г.В., ведущего эксперта отдела анализа рынков, реестров и НИОКР Аналитического управления </w:t>
      </w:r>
      <w:proofErr w:type="spellStart"/>
      <w:r w:rsidRPr="009F3BEB">
        <w:rPr>
          <w:sz w:val="28"/>
          <w:szCs w:val="28"/>
        </w:rPr>
        <w:t>Стихаревой</w:t>
      </w:r>
      <w:proofErr w:type="spellEnd"/>
      <w:r w:rsidRPr="009F3BEB">
        <w:rPr>
          <w:sz w:val="28"/>
          <w:szCs w:val="28"/>
        </w:rPr>
        <w:t xml:space="preserve"> Н.И. (далее – Комиссия), </w:t>
      </w:r>
    </w:p>
    <w:p w:rsidR="009F3BEB" w:rsidRPr="009F3BEB" w:rsidRDefault="009F3BEB" w:rsidP="009F3BEB">
      <w:pPr>
        <w:pStyle w:val="a6"/>
        <w:spacing w:before="0" w:beforeAutospacing="0" w:after="0"/>
        <w:ind w:firstLine="709"/>
        <w:jc w:val="both"/>
        <w:rPr>
          <w:sz w:val="28"/>
          <w:szCs w:val="28"/>
        </w:rPr>
      </w:pPr>
      <w:r w:rsidRPr="009F3BEB">
        <w:rPr>
          <w:sz w:val="28"/>
          <w:szCs w:val="28"/>
        </w:rPr>
        <w:t>рассмотрев дело № 1-15-141/00-05-13 по признакам нарушения Федеральным государственным унитарным предприятием «Научно-исследовательский институт стандартизации и унификации» (далее – ФГУП «НИИСУ») (место нахождения: ул. Сокольнический вал, 37/10, г. Москва, 107113) части 1 статьи 15 Федерального закона от 26.07.2006 № 135-ФЗ «О защите конкуренции» (далее – Закон о защите конкуренции),</w:t>
      </w:r>
    </w:p>
    <w:p w:rsidR="009F3BEB" w:rsidRDefault="009F3BEB" w:rsidP="009F3BEB">
      <w:pPr>
        <w:pStyle w:val="a6"/>
        <w:spacing w:before="0" w:beforeAutospacing="0" w:after="0"/>
        <w:jc w:val="both"/>
        <w:rPr>
          <w:sz w:val="28"/>
          <w:szCs w:val="28"/>
        </w:rPr>
      </w:pPr>
    </w:p>
    <w:p w:rsidR="009F3BEB" w:rsidRPr="009F3BEB" w:rsidRDefault="009F3BEB" w:rsidP="009F3BEB">
      <w:pPr>
        <w:pStyle w:val="a6"/>
        <w:spacing w:before="0" w:beforeAutospacing="0" w:after="0"/>
        <w:jc w:val="center"/>
        <w:rPr>
          <w:sz w:val="28"/>
          <w:szCs w:val="28"/>
        </w:rPr>
      </w:pPr>
      <w:r w:rsidRPr="009F3BEB">
        <w:rPr>
          <w:sz w:val="28"/>
          <w:szCs w:val="28"/>
        </w:rPr>
        <w:t>УСТАНОВИЛА:</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I. </w:t>
      </w:r>
      <w:proofErr w:type="gramStart"/>
      <w:r w:rsidRPr="009F3BEB">
        <w:rPr>
          <w:sz w:val="28"/>
          <w:szCs w:val="28"/>
        </w:rPr>
        <w:t xml:space="preserve">Основанием для возбуждения дела № 1-15-141/00-05-13 послужили признаки нарушения части 1 статьи 15 Закона о защите конкуренции в действиях ФГУП «НИИСУ», выявленные в результате рассмотрения дела № 1 10/50-12, возбужденного </w:t>
      </w:r>
      <w:r w:rsidRPr="009F3BEB">
        <w:rPr>
          <w:color w:val="000000"/>
          <w:sz w:val="28"/>
          <w:szCs w:val="28"/>
        </w:rPr>
        <w:t>на основании приказа ФАС России от 01.06.2012 № 358</w:t>
      </w:r>
      <w:r w:rsidRPr="009F3BEB">
        <w:rPr>
          <w:sz w:val="28"/>
          <w:szCs w:val="28"/>
        </w:rPr>
        <w:t xml:space="preserve"> в отношении ОАО «Нормаль» по признакам нарушения пункта 9 части 1 статьи 10, пункта 1 части 1 статьи 14 Закона о защите</w:t>
      </w:r>
      <w:proofErr w:type="gramEnd"/>
      <w:r w:rsidRPr="009F3BEB">
        <w:rPr>
          <w:sz w:val="28"/>
          <w:szCs w:val="28"/>
        </w:rPr>
        <w:t xml:space="preserve"> конкуренции.</w:t>
      </w:r>
    </w:p>
    <w:p w:rsidR="009F3BEB" w:rsidRPr="009F3BEB" w:rsidRDefault="009F3BEB" w:rsidP="009F3BEB">
      <w:pPr>
        <w:pStyle w:val="a6"/>
        <w:spacing w:before="0" w:beforeAutospacing="0" w:after="0"/>
        <w:ind w:firstLine="709"/>
        <w:jc w:val="both"/>
        <w:rPr>
          <w:sz w:val="28"/>
          <w:szCs w:val="28"/>
        </w:rPr>
      </w:pPr>
      <w:r w:rsidRPr="009F3BEB">
        <w:rPr>
          <w:sz w:val="28"/>
          <w:szCs w:val="28"/>
        </w:rPr>
        <w:t>В результате рассмотрения дела № 1 10/50-12 установлено следующее.</w:t>
      </w:r>
    </w:p>
    <w:p w:rsidR="009F3BEB" w:rsidRPr="009F3BEB" w:rsidRDefault="009F3BEB" w:rsidP="009F3BEB">
      <w:pPr>
        <w:pStyle w:val="a6"/>
        <w:spacing w:before="0" w:beforeAutospacing="0" w:after="0"/>
        <w:ind w:firstLine="709"/>
        <w:jc w:val="both"/>
        <w:rPr>
          <w:sz w:val="28"/>
          <w:szCs w:val="28"/>
        </w:rPr>
      </w:pPr>
      <w:r w:rsidRPr="009F3BEB">
        <w:rPr>
          <w:sz w:val="28"/>
          <w:szCs w:val="28"/>
        </w:rPr>
        <w:t>ОАО «Нормаль» является разработчиком и держателем подлинников отраслевых стандартов по титановому крепежу из сплава ВТ-16 для сборки авиационной техники, изготавливаемого методом холодной высадки (далее – Отраслевые стандарты по Титановому крепежу):</w:t>
      </w:r>
    </w:p>
    <w:p w:rsidR="009F3BEB" w:rsidRPr="009F3BEB" w:rsidRDefault="009F3BEB" w:rsidP="009F3BEB">
      <w:pPr>
        <w:pStyle w:val="a6"/>
        <w:spacing w:before="0" w:beforeAutospacing="0" w:after="0"/>
        <w:ind w:firstLine="709"/>
        <w:jc w:val="both"/>
        <w:rPr>
          <w:sz w:val="28"/>
          <w:szCs w:val="28"/>
        </w:rPr>
      </w:pPr>
      <w:r w:rsidRPr="009F3BEB">
        <w:rPr>
          <w:sz w:val="28"/>
          <w:szCs w:val="28"/>
        </w:rPr>
        <w:t>- ОСТ 1 00552-72 «Болты и винты из титанового сплава. Технические условия»;</w:t>
      </w:r>
    </w:p>
    <w:p w:rsidR="009F3BEB" w:rsidRPr="009F3BEB" w:rsidRDefault="009F3BEB" w:rsidP="009F3BEB">
      <w:pPr>
        <w:pStyle w:val="a6"/>
        <w:spacing w:before="0" w:beforeAutospacing="0" w:after="0"/>
        <w:ind w:firstLine="709"/>
        <w:jc w:val="both"/>
        <w:rPr>
          <w:sz w:val="28"/>
          <w:szCs w:val="28"/>
        </w:rPr>
      </w:pPr>
      <w:r w:rsidRPr="009F3BEB">
        <w:rPr>
          <w:sz w:val="28"/>
          <w:szCs w:val="28"/>
        </w:rPr>
        <w:t>- ОСТ 1 33102-80 «Гайки. Технические условия»;</w:t>
      </w:r>
    </w:p>
    <w:p w:rsidR="009F3BEB" w:rsidRPr="009F3BEB" w:rsidRDefault="009F3BEB" w:rsidP="009F3BEB">
      <w:pPr>
        <w:pStyle w:val="a6"/>
        <w:spacing w:before="0" w:beforeAutospacing="0" w:after="0"/>
        <w:ind w:firstLine="709"/>
        <w:jc w:val="both"/>
        <w:rPr>
          <w:sz w:val="28"/>
          <w:szCs w:val="28"/>
        </w:rPr>
      </w:pPr>
      <w:r w:rsidRPr="009F3BEB">
        <w:rPr>
          <w:sz w:val="28"/>
          <w:szCs w:val="28"/>
        </w:rPr>
        <w:t>- ОСТ 1 34104-80 «Заклепки. Технические условия»;</w:t>
      </w:r>
    </w:p>
    <w:p w:rsidR="009F3BEB" w:rsidRPr="009F3BEB" w:rsidRDefault="009F3BEB" w:rsidP="009F3BEB">
      <w:pPr>
        <w:pStyle w:val="a6"/>
        <w:spacing w:before="0" w:beforeAutospacing="0" w:after="0"/>
        <w:ind w:firstLine="709"/>
        <w:jc w:val="both"/>
        <w:rPr>
          <w:sz w:val="28"/>
          <w:szCs w:val="28"/>
        </w:rPr>
      </w:pPr>
      <w:r w:rsidRPr="009F3BEB">
        <w:rPr>
          <w:sz w:val="28"/>
          <w:szCs w:val="28"/>
        </w:rPr>
        <w:t>- ОСТ 1 00646-73 «Гайки-пистоны. Технические условия»;</w:t>
      </w:r>
    </w:p>
    <w:p w:rsidR="009F3BEB" w:rsidRPr="009F3BEB" w:rsidRDefault="009F3BEB" w:rsidP="009F3BEB">
      <w:pPr>
        <w:pStyle w:val="a6"/>
        <w:spacing w:before="0" w:beforeAutospacing="0" w:after="0"/>
        <w:ind w:firstLine="709"/>
        <w:jc w:val="both"/>
        <w:rPr>
          <w:sz w:val="28"/>
          <w:szCs w:val="28"/>
        </w:rPr>
      </w:pPr>
      <w:r w:rsidRPr="009F3BEB">
        <w:rPr>
          <w:sz w:val="28"/>
          <w:szCs w:val="28"/>
        </w:rPr>
        <w:t>- ОСТ 1 30077-88 «Заклепки высокого сопротивления срезу для композиционных материалов. Технические условия»;</w:t>
      </w:r>
    </w:p>
    <w:p w:rsidR="009F3BEB" w:rsidRPr="009F3BEB" w:rsidRDefault="009F3BEB" w:rsidP="009F3BEB">
      <w:pPr>
        <w:pStyle w:val="a6"/>
        <w:spacing w:before="0" w:beforeAutospacing="0" w:after="0"/>
        <w:ind w:firstLine="709"/>
        <w:jc w:val="both"/>
        <w:rPr>
          <w:sz w:val="28"/>
          <w:szCs w:val="28"/>
        </w:rPr>
      </w:pPr>
      <w:r w:rsidRPr="009F3BEB">
        <w:rPr>
          <w:sz w:val="28"/>
          <w:szCs w:val="28"/>
        </w:rPr>
        <w:t>- ОСТ 1 30045-83 «</w:t>
      </w:r>
      <w:proofErr w:type="spellStart"/>
      <w:proofErr w:type="gramStart"/>
      <w:r w:rsidRPr="009F3BEB">
        <w:rPr>
          <w:sz w:val="28"/>
          <w:szCs w:val="28"/>
        </w:rPr>
        <w:t>Болт-заклепки</w:t>
      </w:r>
      <w:proofErr w:type="spellEnd"/>
      <w:proofErr w:type="gramEnd"/>
      <w:r w:rsidRPr="009F3BEB">
        <w:rPr>
          <w:sz w:val="28"/>
          <w:szCs w:val="28"/>
        </w:rPr>
        <w:t>, стержни и кольца к ним»;</w:t>
      </w:r>
    </w:p>
    <w:p w:rsidR="009F3BEB" w:rsidRPr="009F3BEB" w:rsidRDefault="009F3BEB" w:rsidP="009F3BEB">
      <w:pPr>
        <w:pStyle w:val="a6"/>
        <w:spacing w:before="0" w:beforeAutospacing="0" w:after="0"/>
        <w:ind w:firstLine="709"/>
        <w:jc w:val="both"/>
        <w:rPr>
          <w:sz w:val="28"/>
          <w:szCs w:val="28"/>
        </w:rPr>
      </w:pPr>
      <w:r w:rsidRPr="009F3BEB">
        <w:rPr>
          <w:sz w:val="28"/>
          <w:szCs w:val="28"/>
        </w:rPr>
        <w:t>- ОСТ 1 00537-72 «Арматура соединений. Технические условия».</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Отраслевые стандарты по Титановому крепежу включены в Сводный перечень документов по стандартизации оборонной продукции </w:t>
      </w:r>
      <w:r w:rsidRPr="009F3BEB">
        <w:rPr>
          <w:i/>
          <w:iCs/>
          <w:sz w:val="28"/>
          <w:szCs w:val="28"/>
        </w:rPr>
        <w:t>(далее – Сводный перечень)</w:t>
      </w:r>
      <w:r w:rsidRPr="009F3BEB">
        <w:rPr>
          <w:sz w:val="28"/>
          <w:szCs w:val="28"/>
        </w:rPr>
        <w:t xml:space="preserve"> (письмо ФГУП «НИИСУ» от 22.06.2012 №2679/551 в адрес ОАО «Нормаль»).</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При этом отраслевые стандарты по Титановому крепежу являются отраслевыми стандартами двойного применения, то есть стандартами с едиными требованиями для оборонной и народно-хозяйственной продукции. </w:t>
      </w:r>
    </w:p>
    <w:p w:rsidR="009F3BEB" w:rsidRPr="009F3BEB" w:rsidRDefault="009F3BEB" w:rsidP="009F3BEB">
      <w:pPr>
        <w:pStyle w:val="a6"/>
        <w:spacing w:before="0" w:beforeAutospacing="0" w:after="0"/>
        <w:ind w:firstLine="709"/>
        <w:jc w:val="both"/>
        <w:rPr>
          <w:sz w:val="28"/>
          <w:szCs w:val="28"/>
        </w:rPr>
      </w:pPr>
      <w:proofErr w:type="gramStart"/>
      <w:r w:rsidRPr="009F3BEB">
        <w:rPr>
          <w:sz w:val="28"/>
          <w:szCs w:val="28"/>
        </w:rPr>
        <w:t>В этой связи Отраслевые стандарты по Титановому крепежу относятся к документам по стандартизации оборонной продукции, у</w:t>
      </w:r>
      <w:r w:rsidRPr="009F3BEB">
        <w:rPr>
          <w:color w:val="000000"/>
          <w:sz w:val="28"/>
          <w:szCs w:val="28"/>
        </w:rPr>
        <w:t>казанным в подпункте «</w:t>
      </w:r>
      <w:proofErr w:type="spellStart"/>
      <w:r w:rsidRPr="009F3BEB">
        <w:rPr>
          <w:color w:val="000000"/>
          <w:sz w:val="28"/>
          <w:szCs w:val="28"/>
        </w:rPr>
        <w:t>р</w:t>
      </w:r>
      <w:proofErr w:type="spellEnd"/>
      <w:r w:rsidRPr="009F3BEB">
        <w:rPr>
          <w:color w:val="000000"/>
          <w:sz w:val="28"/>
          <w:szCs w:val="28"/>
        </w:rPr>
        <w:t xml:space="preserve">» пункта 12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w:t>
      </w:r>
      <w:hyperlink r:id="rId8" w:history="1">
        <w:r w:rsidRPr="009F3BEB">
          <w:rPr>
            <w:rStyle w:val="a5"/>
            <w:color w:val="000000"/>
            <w:sz w:val="28"/>
            <w:szCs w:val="28"/>
          </w:rPr>
          <w:t>сведений</w:t>
        </w:r>
      </w:hyperlink>
      <w:r w:rsidRPr="009F3BEB">
        <w:rPr>
          <w:color w:val="000000"/>
          <w:sz w:val="28"/>
          <w:szCs w:val="28"/>
        </w:rPr>
        <w:t xml:space="preserve">, составляющих государственную тайну или относимых к охраняемой в соответствии с </w:t>
      </w:r>
      <w:hyperlink r:id="rId9" w:history="1">
        <w:r w:rsidRPr="009F3BEB">
          <w:rPr>
            <w:rStyle w:val="a5"/>
            <w:color w:val="000000"/>
            <w:sz w:val="28"/>
            <w:szCs w:val="28"/>
          </w:rPr>
          <w:t>законодательством</w:t>
        </w:r>
      </w:hyperlink>
      <w:r w:rsidRPr="009F3BEB">
        <w:rPr>
          <w:color w:val="000000"/>
          <w:sz w:val="28"/>
          <w:szCs w:val="28"/>
        </w:rPr>
        <w:t xml:space="preserve"> Российской Федерац</w:t>
      </w:r>
      <w:r w:rsidRPr="009F3BEB">
        <w:rPr>
          <w:sz w:val="28"/>
          <w:szCs w:val="28"/>
        </w:rPr>
        <w:t>ии иной информации ограниченного доступа, и</w:t>
      </w:r>
      <w:proofErr w:type="gramEnd"/>
      <w:r w:rsidRPr="009F3BEB">
        <w:rPr>
          <w:sz w:val="28"/>
          <w:szCs w:val="28"/>
        </w:rPr>
        <w:t xml:space="preserve"> </w:t>
      </w:r>
      <w:proofErr w:type="gramStart"/>
      <w:r w:rsidRPr="009F3BEB">
        <w:rPr>
          <w:sz w:val="28"/>
          <w:szCs w:val="28"/>
        </w:rPr>
        <w:t xml:space="preserve">продукции (работ, услуг), сведения о которой составляют государственную тайну, поставляемой вне оборонного заказа,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r w:rsidRPr="009F3BEB">
        <w:rPr>
          <w:i/>
          <w:iCs/>
          <w:sz w:val="28"/>
          <w:szCs w:val="28"/>
        </w:rPr>
        <w:t>(далее – Положение об особенностях стандартизации оборонной продукции)</w:t>
      </w:r>
      <w:r w:rsidRPr="009F3BEB">
        <w:rPr>
          <w:sz w:val="28"/>
          <w:szCs w:val="28"/>
        </w:rPr>
        <w:t xml:space="preserve">, </w:t>
      </w:r>
      <w:r w:rsidRPr="009F3BEB">
        <w:rPr>
          <w:sz w:val="28"/>
          <w:szCs w:val="28"/>
        </w:rPr>
        <w:lastRenderedPageBreak/>
        <w:t xml:space="preserve">утвержденного Постановлением Правительства Российской Федерации от 17.10.2009 № 822 </w:t>
      </w:r>
      <w:r w:rsidRPr="009F3BEB">
        <w:rPr>
          <w:i/>
          <w:iCs/>
          <w:sz w:val="28"/>
          <w:szCs w:val="28"/>
        </w:rPr>
        <w:t>(далее – Постановление Правительства РФ №822)</w:t>
      </w:r>
      <w:r w:rsidRPr="009F3BEB">
        <w:rPr>
          <w:sz w:val="28"/>
          <w:szCs w:val="28"/>
        </w:rPr>
        <w:t>.</w:t>
      </w:r>
      <w:proofErr w:type="gramEnd"/>
    </w:p>
    <w:p w:rsidR="009F3BEB" w:rsidRPr="009F3BEB" w:rsidRDefault="009F3BEB" w:rsidP="009F3BEB">
      <w:pPr>
        <w:pStyle w:val="a6"/>
        <w:spacing w:before="0" w:beforeAutospacing="0" w:after="0"/>
        <w:ind w:firstLine="709"/>
        <w:jc w:val="both"/>
        <w:rPr>
          <w:sz w:val="28"/>
          <w:szCs w:val="28"/>
        </w:rPr>
      </w:pPr>
      <w:r w:rsidRPr="009F3BEB">
        <w:rPr>
          <w:sz w:val="28"/>
          <w:szCs w:val="28"/>
        </w:rPr>
        <w:t>Потребителями Титанового крепежа являются предприятия-изготовители авиационной техники. Основным фактором, определяющим выбор потребителя при покупке Титанового крепежа, является его соответствие требованиям отраслевых стандартов, указанных в конструкторской документации на изделие авиационной техники.</w:t>
      </w:r>
    </w:p>
    <w:p w:rsidR="009F3BEB" w:rsidRPr="009F3BEB" w:rsidRDefault="009F3BEB" w:rsidP="009F3BEB">
      <w:pPr>
        <w:pStyle w:val="a6"/>
        <w:spacing w:before="0" w:beforeAutospacing="0" w:after="0"/>
        <w:ind w:firstLine="709"/>
        <w:jc w:val="both"/>
        <w:rPr>
          <w:sz w:val="28"/>
          <w:szCs w:val="28"/>
        </w:rPr>
      </w:pPr>
      <w:r w:rsidRPr="009F3BEB">
        <w:rPr>
          <w:sz w:val="28"/>
          <w:szCs w:val="28"/>
        </w:rPr>
        <w:t>Получение актуализированных отраслевых стандартов и последующих изменений к ним является одним из условий доступа на рынок Титанового крепежа.</w:t>
      </w:r>
    </w:p>
    <w:p w:rsidR="009F3BEB" w:rsidRPr="009F3BEB" w:rsidRDefault="009F3BEB" w:rsidP="009F3BEB">
      <w:pPr>
        <w:pStyle w:val="a6"/>
        <w:spacing w:before="0" w:beforeAutospacing="0" w:after="0"/>
        <w:ind w:firstLine="709"/>
        <w:jc w:val="both"/>
        <w:rPr>
          <w:sz w:val="28"/>
          <w:szCs w:val="28"/>
        </w:rPr>
      </w:pPr>
      <w:r w:rsidRPr="009F3BEB">
        <w:rPr>
          <w:sz w:val="28"/>
          <w:szCs w:val="28"/>
        </w:rPr>
        <w:t>С целью осуществления производства и реализации Титанового крепеж</w:t>
      </w:r>
      <w:proofErr w:type="gramStart"/>
      <w:r w:rsidRPr="009F3BEB">
        <w:rPr>
          <w:sz w:val="28"/>
          <w:szCs w:val="28"/>
        </w:rPr>
        <w:t>а ООО</w:t>
      </w:r>
      <w:proofErr w:type="gramEnd"/>
      <w:r w:rsidRPr="009F3BEB">
        <w:rPr>
          <w:sz w:val="28"/>
          <w:szCs w:val="28"/>
        </w:rPr>
        <w:t xml:space="preserve"> «НПО «</w:t>
      </w:r>
      <w:proofErr w:type="spellStart"/>
      <w:r w:rsidRPr="009F3BEB">
        <w:rPr>
          <w:sz w:val="28"/>
          <w:szCs w:val="28"/>
        </w:rPr>
        <w:t>Сплав-Ти</w:t>
      </w:r>
      <w:proofErr w:type="spellEnd"/>
      <w:r w:rsidRPr="009F3BEB">
        <w:rPr>
          <w:sz w:val="28"/>
          <w:szCs w:val="28"/>
        </w:rPr>
        <w:t xml:space="preserve">» письмом от 21.11.2011 № 144 обратилось к </w:t>
      </w:r>
      <w:r>
        <w:rPr>
          <w:sz w:val="28"/>
          <w:szCs w:val="28"/>
        </w:rPr>
        <w:t xml:space="preserve">            </w:t>
      </w:r>
      <w:r w:rsidRPr="009F3BEB">
        <w:rPr>
          <w:sz w:val="28"/>
          <w:szCs w:val="28"/>
        </w:rPr>
        <w:t xml:space="preserve">ОАО «Нормаль» по вопросу получения Отраслевых стандартов по Титановому крепежу: ОСТ 1 00552-72, ОСТ 1 00646-73, ОСТ 1 33102-80, ОСТ 1 34104-80. </w:t>
      </w:r>
    </w:p>
    <w:p w:rsidR="009F3BEB" w:rsidRPr="009F3BEB" w:rsidRDefault="009F3BEB" w:rsidP="009F3BEB">
      <w:pPr>
        <w:pStyle w:val="a6"/>
        <w:spacing w:before="0" w:beforeAutospacing="0" w:after="0"/>
        <w:ind w:firstLine="709"/>
        <w:jc w:val="both"/>
        <w:rPr>
          <w:sz w:val="28"/>
          <w:szCs w:val="28"/>
        </w:rPr>
      </w:pPr>
      <w:r w:rsidRPr="009F3BEB">
        <w:rPr>
          <w:sz w:val="28"/>
          <w:szCs w:val="28"/>
        </w:rPr>
        <w:t>Однако на момент принятия решения по делу № 1 10/50-12 ОАО «Нормаль» не предоставил</w:t>
      </w:r>
      <w:proofErr w:type="gramStart"/>
      <w:r w:rsidRPr="009F3BEB">
        <w:rPr>
          <w:sz w:val="28"/>
          <w:szCs w:val="28"/>
        </w:rPr>
        <w:t>о ООО</w:t>
      </w:r>
      <w:proofErr w:type="gramEnd"/>
      <w:r w:rsidRPr="009F3BEB">
        <w:rPr>
          <w:sz w:val="28"/>
          <w:szCs w:val="28"/>
        </w:rPr>
        <w:t xml:space="preserve"> «НПО «</w:t>
      </w:r>
      <w:proofErr w:type="spellStart"/>
      <w:r w:rsidRPr="009F3BEB">
        <w:rPr>
          <w:sz w:val="28"/>
          <w:szCs w:val="28"/>
        </w:rPr>
        <w:t>Сплав-Ти</w:t>
      </w:r>
      <w:proofErr w:type="spellEnd"/>
      <w:r w:rsidRPr="009F3BEB">
        <w:rPr>
          <w:sz w:val="28"/>
          <w:szCs w:val="28"/>
        </w:rPr>
        <w:t>» указанные отраслевые стандарты.</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Действия ОАО «Нормаль», выразившиеся в </w:t>
      </w:r>
      <w:proofErr w:type="spellStart"/>
      <w:r w:rsidRPr="009F3BEB">
        <w:rPr>
          <w:sz w:val="28"/>
          <w:szCs w:val="28"/>
        </w:rPr>
        <w:t>непредоставлении</w:t>
      </w:r>
      <w:proofErr w:type="spellEnd"/>
      <w:r w:rsidRPr="009F3BEB">
        <w:rPr>
          <w:sz w:val="28"/>
          <w:szCs w:val="28"/>
        </w:rPr>
        <w:t xml:space="preserve"> ООО «НПО «</w:t>
      </w:r>
      <w:proofErr w:type="spellStart"/>
      <w:r w:rsidRPr="009F3BEB">
        <w:rPr>
          <w:sz w:val="28"/>
          <w:szCs w:val="28"/>
        </w:rPr>
        <w:t>Сплав-Ти</w:t>
      </w:r>
      <w:proofErr w:type="spellEnd"/>
      <w:r w:rsidRPr="009F3BEB">
        <w:rPr>
          <w:sz w:val="28"/>
          <w:szCs w:val="28"/>
        </w:rPr>
        <w:t>» актуализированных отраслевых стандартов по Титановому крепежу, являются, в том числе, следствием отсутствия порядка их распространения, &lt;…&gt;*.</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Отсутствие разработанного порядка распространения отраслевых стандартов могло привести к ограничению конкуренции на рынке Титанового крепежа, </w:t>
      </w:r>
      <w:r w:rsidRPr="009F3BEB">
        <w:rPr>
          <w:color w:val="000000"/>
          <w:sz w:val="28"/>
          <w:szCs w:val="28"/>
        </w:rPr>
        <w:t xml:space="preserve">а именно недопущению на указанный рынок новых производителей, </w:t>
      </w:r>
      <w:r w:rsidRPr="009F3BEB">
        <w:rPr>
          <w:sz w:val="28"/>
          <w:szCs w:val="28"/>
        </w:rPr>
        <w:t>ввиду наличия конфликта интересов у ОАО «Нормаль», как организации, осуществляющей одновременно функции по распространению отраслевых стандартов по Титановому крепежу и функции по производству и реализации указанной продукции.</w:t>
      </w:r>
    </w:p>
    <w:p w:rsidR="009F3BEB" w:rsidRPr="009F3BEB" w:rsidRDefault="009F3BEB" w:rsidP="009F3BEB">
      <w:pPr>
        <w:pStyle w:val="a6"/>
        <w:spacing w:before="0" w:beforeAutospacing="0" w:after="0"/>
        <w:ind w:firstLine="709"/>
        <w:jc w:val="both"/>
        <w:rPr>
          <w:sz w:val="28"/>
          <w:szCs w:val="28"/>
        </w:rPr>
      </w:pPr>
      <w:r w:rsidRPr="009F3BEB">
        <w:rPr>
          <w:sz w:val="28"/>
          <w:szCs w:val="28"/>
        </w:rPr>
        <w:t>Порядок распространения отраслевых стандартов должен быть определен головной организацией по стандартизации оборонной продукции – ФГУП «НИИСУ».</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На момент принятия решения по делу № 1 10/50-12 порядок распространения отраслевых стандартов ФГУП «НИИСУ» не был разработан. </w:t>
      </w:r>
    </w:p>
    <w:p w:rsidR="009F3BEB" w:rsidRPr="009F3BEB" w:rsidRDefault="009F3BEB" w:rsidP="009F3BEB">
      <w:pPr>
        <w:pStyle w:val="a6"/>
        <w:spacing w:before="0" w:beforeAutospacing="0" w:after="0"/>
        <w:ind w:firstLine="709"/>
        <w:jc w:val="both"/>
        <w:rPr>
          <w:sz w:val="28"/>
          <w:szCs w:val="28"/>
        </w:rPr>
      </w:pPr>
      <w:r w:rsidRPr="009F3BEB">
        <w:rPr>
          <w:sz w:val="28"/>
          <w:szCs w:val="28"/>
        </w:rPr>
        <w:t>Учитывая изложенное, в результате рассмотрения дела № 1 10/50-12 были выявлены факты, указывающие на наличие признаков нарушения части 1 статьи 15 Закона о защите конкуренции со стороны ФГУП «НИИСУ», выразившиеся в бездействии, которое может привести к ограничению конкуренции на рынке Титанового крепежа.</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lang w:val="en-US"/>
        </w:rPr>
        <w:t>II</w:t>
      </w:r>
      <w:r w:rsidRPr="009F3BEB">
        <w:rPr>
          <w:sz w:val="28"/>
          <w:szCs w:val="28"/>
        </w:rPr>
        <w:t xml:space="preserve">. При оценке действий (бездействия) ФГУП «НИИСУ» в части выявления фактов нарушения части 1 статьи 15 Закона о защите конкуренции Комиссия рассмотрела представленные материалы, выслушала доводы, возражения и пояснения лиц, участвующих в деле (ФГУП «НИИСУ», ОАО «Нормаль», </w:t>
      </w:r>
      <w:proofErr w:type="spellStart"/>
      <w:r w:rsidRPr="009F3BEB">
        <w:rPr>
          <w:sz w:val="28"/>
          <w:szCs w:val="28"/>
        </w:rPr>
        <w:t>Минпромторг</w:t>
      </w:r>
      <w:proofErr w:type="spellEnd"/>
      <w:r w:rsidRPr="009F3BEB">
        <w:rPr>
          <w:sz w:val="28"/>
          <w:szCs w:val="28"/>
        </w:rPr>
        <w:t xml:space="preserve"> России), и установила следующее.</w:t>
      </w:r>
    </w:p>
    <w:p w:rsidR="009F3BEB" w:rsidRPr="009F3BEB" w:rsidRDefault="009F3BEB" w:rsidP="009F3BEB">
      <w:pPr>
        <w:pStyle w:val="a6"/>
        <w:spacing w:before="0" w:beforeAutospacing="0" w:after="0"/>
        <w:ind w:firstLine="709"/>
        <w:jc w:val="both"/>
        <w:rPr>
          <w:sz w:val="28"/>
          <w:szCs w:val="28"/>
        </w:rPr>
      </w:pPr>
      <w:r w:rsidRPr="009F3BEB">
        <w:rPr>
          <w:b/>
          <w:bCs/>
          <w:sz w:val="28"/>
          <w:szCs w:val="28"/>
        </w:rPr>
        <w:lastRenderedPageBreak/>
        <w:t>1.</w:t>
      </w:r>
      <w:r w:rsidRPr="009F3BEB">
        <w:rPr>
          <w:sz w:val="28"/>
          <w:szCs w:val="28"/>
        </w:rPr>
        <w:t xml:space="preserve"> </w:t>
      </w:r>
      <w:r w:rsidRPr="009F3BEB">
        <w:rPr>
          <w:b/>
          <w:bCs/>
          <w:sz w:val="28"/>
          <w:szCs w:val="28"/>
        </w:rPr>
        <w:t xml:space="preserve">Распространение Отраслевых стандартов по Титановому крепежу является функцией федерального органа исполнительной власти – Министерства промышленности и торговли Российской Федерации (далее - </w:t>
      </w:r>
      <w:proofErr w:type="spellStart"/>
      <w:r w:rsidRPr="009F3BEB">
        <w:rPr>
          <w:b/>
          <w:bCs/>
          <w:sz w:val="28"/>
          <w:szCs w:val="28"/>
        </w:rPr>
        <w:t>Минпромторг</w:t>
      </w:r>
      <w:proofErr w:type="spellEnd"/>
      <w:r w:rsidRPr="009F3BEB">
        <w:rPr>
          <w:b/>
          <w:bCs/>
          <w:sz w:val="28"/>
          <w:szCs w:val="28"/>
        </w:rPr>
        <w:t xml:space="preserve"> России), которую осуществляет ФГУП «НИИСУ».</w:t>
      </w:r>
    </w:p>
    <w:p w:rsidR="009F3BEB" w:rsidRPr="009F3BEB" w:rsidRDefault="009F3BEB" w:rsidP="009F3BEB">
      <w:pPr>
        <w:pStyle w:val="a6"/>
        <w:spacing w:before="0" w:beforeAutospacing="0" w:after="0"/>
        <w:ind w:firstLine="709"/>
        <w:jc w:val="both"/>
        <w:rPr>
          <w:sz w:val="28"/>
          <w:szCs w:val="28"/>
        </w:rPr>
      </w:pPr>
      <w:r w:rsidRPr="009F3BEB">
        <w:rPr>
          <w:sz w:val="28"/>
          <w:szCs w:val="28"/>
        </w:rPr>
        <w:t>Согласно подпункту «в» пункта 26 Положения об особенностях стандартизации оборонной продукции издание, распространение и отмену документов, указанных в подпункте «</w:t>
      </w:r>
      <w:proofErr w:type="spellStart"/>
      <w:r w:rsidRPr="009F3BEB">
        <w:rPr>
          <w:sz w:val="28"/>
          <w:szCs w:val="28"/>
        </w:rPr>
        <w:t>р</w:t>
      </w:r>
      <w:proofErr w:type="spellEnd"/>
      <w:r w:rsidRPr="009F3BEB">
        <w:rPr>
          <w:sz w:val="28"/>
          <w:szCs w:val="28"/>
        </w:rPr>
        <w:t>» пункта 12 данного Положения осуществляет государственный заказчик, исполняющий функции государственного заказчика работ по стандартизации оборонной продукции.</w:t>
      </w:r>
    </w:p>
    <w:p w:rsidR="009F3BEB" w:rsidRPr="009F3BEB" w:rsidRDefault="009F3BEB" w:rsidP="009F3BEB">
      <w:pPr>
        <w:pStyle w:val="a6"/>
        <w:spacing w:before="0" w:beforeAutospacing="0" w:after="0"/>
        <w:ind w:firstLine="709"/>
        <w:jc w:val="both"/>
        <w:rPr>
          <w:sz w:val="28"/>
          <w:szCs w:val="28"/>
        </w:rPr>
      </w:pPr>
      <w:r w:rsidRPr="009F3BEB">
        <w:rPr>
          <w:sz w:val="28"/>
          <w:szCs w:val="28"/>
        </w:rPr>
        <w:t>Таким образом, распространение Отраслевых стандартов по Титановому крепежу является функцией государственного заказчика.</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Комиссией установлено, что государственным заказчиком по стандартизации оборонной продукции в отношении Титанового крепежа является федеральный орган исполнительной власти – </w:t>
      </w:r>
      <w:proofErr w:type="spellStart"/>
      <w:r w:rsidRPr="009F3BEB">
        <w:rPr>
          <w:sz w:val="28"/>
          <w:szCs w:val="28"/>
        </w:rPr>
        <w:t>Минпромторг</w:t>
      </w:r>
      <w:proofErr w:type="spellEnd"/>
      <w:r w:rsidRPr="009F3BEB">
        <w:rPr>
          <w:sz w:val="28"/>
          <w:szCs w:val="28"/>
        </w:rPr>
        <w:t xml:space="preserve"> России (приказ </w:t>
      </w:r>
      <w:proofErr w:type="spellStart"/>
      <w:r w:rsidRPr="009F3BEB">
        <w:rPr>
          <w:sz w:val="28"/>
          <w:szCs w:val="28"/>
        </w:rPr>
        <w:t>Минпромторга</w:t>
      </w:r>
      <w:proofErr w:type="spellEnd"/>
      <w:r w:rsidRPr="009F3BEB">
        <w:rPr>
          <w:sz w:val="28"/>
          <w:szCs w:val="28"/>
        </w:rPr>
        <w:t xml:space="preserve"> России от 02.06.2010 №470 «Об организации в </w:t>
      </w:r>
      <w:proofErr w:type="spellStart"/>
      <w:r w:rsidRPr="009F3BEB">
        <w:rPr>
          <w:sz w:val="28"/>
          <w:szCs w:val="28"/>
        </w:rPr>
        <w:t>Минпромторге</w:t>
      </w:r>
      <w:proofErr w:type="spellEnd"/>
      <w:r w:rsidRPr="009F3BEB">
        <w:rPr>
          <w:sz w:val="28"/>
          <w:szCs w:val="28"/>
        </w:rPr>
        <w:t xml:space="preserve"> России работ по стандартизации оборонной продукции»).</w:t>
      </w:r>
    </w:p>
    <w:p w:rsidR="009F3BEB" w:rsidRPr="009F3BEB" w:rsidRDefault="009F3BEB" w:rsidP="009F3BEB">
      <w:pPr>
        <w:pStyle w:val="a6"/>
        <w:spacing w:before="0" w:beforeAutospacing="0" w:after="0"/>
        <w:ind w:firstLine="709"/>
        <w:jc w:val="both"/>
        <w:rPr>
          <w:sz w:val="28"/>
          <w:szCs w:val="28"/>
        </w:rPr>
      </w:pPr>
      <w:proofErr w:type="gramStart"/>
      <w:r w:rsidRPr="009F3BEB">
        <w:rPr>
          <w:sz w:val="28"/>
          <w:szCs w:val="28"/>
        </w:rPr>
        <w:t xml:space="preserve">Вместе с тем, государственный заказчик определяет головные организации по стандартизации оборонной продукции (по группам однородной продукции и (или) видам услуг (работ)) </w:t>
      </w:r>
      <w:r w:rsidRPr="009F3BEB">
        <w:rPr>
          <w:i/>
          <w:iCs/>
          <w:sz w:val="28"/>
          <w:szCs w:val="28"/>
        </w:rPr>
        <w:t>(далее – Головные организации)</w:t>
      </w:r>
      <w:r w:rsidRPr="009F3BEB">
        <w:rPr>
          <w:sz w:val="28"/>
          <w:szCs w:val="28"/>
        </w:rPr>
        <w:t>, которые согласно подпункту «г» пункта 26 Положения об особенностях стандартизации оборонной продукции, в частности, осуществляют информационное обслуживание заинтересованных организаций, в том числе обеспечение официальными изданиями стандартов в отношении закрепленной номенклатуры, то есть распространение (подпункт «с» пункта</w:t>
      </w:r>
      <w:proofErr w:type="gramEnd"/>
      <w:r w:rsidRPr="009F3BEB">
        <w:rPr>
          <w:sz w:val="28"/>
          <w:szCs w:val="28"/>
        </w:rPr>
        <w:t xml:space="preserve"> </w:t>
      </w:r>
      <w:proofErr w:type="gramStart"/>
      <w:r w:rsidRPr="009F3BEB">
        <w:rPr>
          <w:sz w:val="28"/>
          <w:szCs w:val="28"/>
        </w:rPr>
        <w:t>3 Положения об особенностях стандартизации оборонной продукции).</w:t>
      </w:r>
      <w:proofErr w:type="gramEnd"/>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Учитывая изложенное, Комиссия пришла к выводу о том, что </w:t>
      </w:r>
      <w:r w:rsidRPr="009F3BEB">
        <w:rPr>
          <w:b/>
          <w:bCs/>
          <w:sz w:val="28"/>
          <w:szCs w:val="28"/>
        </w:rPr>
        <w:t>распространение документов по стандартизации оборонной продукции – это функция государственного заказчика, которую осуществляет уполномоченная им организация, исполняющая функции Головной организации</w:t>
      </w:r>
      <w:r w:rsidRPr="009F3BEB">
        <w:rPr>
          <w:sz w:val="28"/>
          <w:szCs w:val="28"/>
        </w:rPr>
        <w:t>.</w:t>
      </w:r>
    </w:p>
    <w:p w:rsidR="009F3BEB" w:rsidRPr="009F3BEB" w:rsidRDefault="009F3BEB" w:rsidP="009F3BEB">
      <w:pPr>
        <w:pStyle w:val="a6"/>
        <w:spacing w:before="0" w:beforeAutospacing="0" w:after="0"/>
        <w:ind w:firstLine="709"/>
        <w:jc w:val="both"/>
        <w:rPr>
          <w:sz w:val="28"/>
          <w:szCs w:val="28"/>
        </w:rPr>
      </w:pPr>
      <w:proofErr w:type="gramStart"/>
      <w:r w:rsidRPr="009F3BEB">
        <w:rPr>
          <w:sz w:val="28"/>
          <w:szCs w:val="28"/>
        </w:rPr>
        <w:t>Порядок планирования, разработки, информационного обеспечения, издания, распространения, внедрения и отмены документов, указанных в подпункте «</w:t>
      </w:r>
      <w:proofErr w:type="spellStart"/>
      <w:r w:rsidRPr="009F3BEB">
        <w:rPr>
          <w:sz w:val="28"/>
          <w:szCs w:val="28"/>
        </w:rPr>
        <w:t>р</w:t>
      </w:r>
      <w:proofErr w:type="spellEnd"/>
      <w:r w:rsidRPr="009F3BEB">
        <w:rPr>
          <w:sz w:val="28"/>
          <w:szCs w:val="28"/>
        </w:rPr>
        <w:t>» пункта 12 Положения об особенностях стандартизации оборонной продукции, в том числе отраслевых стандартов по Титановому крепежу, устанавливается межгосударственными и государственными военными стандартами, правилами и рекомендациями по стандартизации оборонной продукции (пункт 19 Положения об особенностях стандартизации оборонной продукции).</w:t>
      </w:r>
      <w:proofErr w:type="gramEnd"/>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Порядок информационного обеспечения и распространения документов по стандартизации оборонной продукции установлен государственным военным стандартом ГОСТ РВ 0001-004-2006 «Система стандартизации оборонной продукции. Документы по стандартизации оборонной продукции. Порядок информационного обеспечения и распространения» </w:t>
      </w:r>
      <w:r w:rsidRPr="009F3BEB">
        <w:rPr>
          <w:i/>
          <w:iCs/>
          <w:sz w:val="28"/>
          <w:szCs w:val="28"/>
        </w:rPr>
        <w:t>(далее – ГОСТ РВ 0001-004-2006).</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i/>
          <w:iCs/>
          <w:sz w:val="28"/>
          <w:szCs w:val="28"/>
        </w:rPr>
        <w:t>&lt;…&gt;*</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Таким образом, предусмотренная подпунктом «г» пункта 26 Положения об особенностях стандартизации оборонной продукции, функция Головной организации по хранению подлинников, дубликатов и дел документов по стандартизации оборонной продукции &lt;…&gt;* дает данной организации или уполномоченной ею Базовой организации исключительное право на распространение этих документов. </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Осуществление функции по распространению документов по стандартизации оборонной продукции предполагает одновременное хранение подлинников, дубликатов и дел документов по стандартизации оборонной продукции. </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Приказом </w:t>
      </w:r>
      <w:proofErr w:type="spellStart"/>
      <w:r w:rsidRPr="009F3BEB">
        <w:rPr>
          <w:sz w:val="28"/>
          <w:szCs w:val="28"/>
        </w:rPr>
        <w:t>Минпромторга</w:t>
      </w:r>
      <w:proofErr w:type="spellEnd"/>
      <w:r w:rsidRPr="009F3BEB">
        <w:rPr>
          <w:sz w:val="28"/>
          <w:szCs w:val="28"/>
        </w:rPr>
        <w:t xml:space="preserve"> России от 05.05.2010 №372 Головной организацией в области авиационной промышленности определено ФГУП «НИИСУ». Титановый крепеж относится к продукции авиационной промышленности.</w:t>
      </w:r>
    </w:p>
    <w:p w:rsidR="009F3BEB" w:rsidRPr="009F3BEB" w:rsidRDefault="009F3BEB" w:rsidP="009F3BEB">
      <w:pPr>
        <w:pStyle w:val="a6"/>
        <w:spacing w:before="0" w:beforeAutospacing="0" w:after="0"/>
        <w:ind w:firstLine="709"/>
        <w:jc w:val="both"/>
        <w:rPr>
          <w:sz w:val="28"/>
          <w:szCs w:val="28"/>
        </w:rPr>
      </w:pPr>
      <w:r w:rsidRPr="009F3BEB">
        <w:rPr>
          <w:sz w:val="28"/>
          <w:szCs w:val="28"/>
        </w:rPr>
        <w:t>В этой связи, в отношении Титанового крепежа Головной организацией является ФГУП «НИИСУ».</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Таким образом, распространение Отраслевых стандартов по Титановому крепежу – это функция </w:t>
      </w:r>
      <w:proofErr w:type="spellStart"/>
      <w:r w:rsidRPr="009F3BEB">
        <w:rPr>
          <w:sz w:val="28"/>
          <w:szCs w:val="28"/>
        </w:rPr>
        <w:t>Минпромторга</w:t>
      </w:r>
      <w:proofErr w:type="spellEnd"/>
      <w:r w:rsidRPr="009F3BEB">
        <w:rPr>
          <w:sz w:val="28"/>
          <w:szCs w:val="28"/>
        </w:rPr>
        <w:t xml:space="preserve"> России, которую с 05.05.2010 должно осуществлять ФГУП «НИИСУ». </w:t>
      </w:r>
    </w:p>
    <w:p w:rsidR="009F3BEB" w:rsidRPr="009F3BEB" w:rsidRDefault="009F3BEB" w:rsidP="009F3BEB">
      <w:pPr>
        <w:pStyle w:val="a6"/>
        <w:spacing w:before="0" w:beforeAutospacing="0" w:after="0"/>
        <w:ind w:firstLine="709"/>
        <w:jc w:val="both"/>
        <w:rPr>
          <w:sz w:val="28"/>
          <w:szCs w:val="28"/>
        </w:rPr>
      </w:pPr>
      <w:r w:rsidRPr="009F3BEB">
        <w:rPr>
          <w:sz w:val="28"/>
          <w:szCs w:val="28"/>
        </w:rPr>
        <w:t>Кроме того, ФГУП «НИИСУ» должно осуществлять хранение подлинников, дубликатов и дел документов по стандартизации Титанового крепежа, в том числе Отраслевых стандартов по Титановому крепежу.</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Это также следует из приказа </w:t>
      </w:r>
      <w:proofErr w:type="spellStart"/>
      <w:r w:rsidRPr="009F3BEB">
        <w:rPr>
          <w:sz w:val="28"/>
          <w:szCs w:val="28"/>
        </w:rPr>
        <w:t>Минпромторга</w:t>
      </w:r>
      <w:proofErr w:type="spellEnd"/>
      <w:r w:rsidRPr="009F3BEB">
        <w:rPr>
          <w:sz w:val="28"/>
          <w:szCs w:val="28"/>
        </w:rPr>
        <w:t xml:space="preserve"> России от 02.06.2010 №470 «Об организации в </w:t>
      </w:r>
      <w:proofErr w:type="spellStart"/>
      <w:r w:rsidRPr="009F3BEB">
        <w:rPr>
          <w:sz w:val="28"/>
          <w:szCs w:val="28"/>
        </w:rPr>
        <w:t>Минпромторге</w:t>
      </w:r>
      <w:proofErr w:type="spellEnd"/>
      <w:r w:rsidRPr="009F3BEB">
        <w:rPr>
          <w:sz w:val="28"/>
          <w:szCs w:val="28"/>
        </w:rPr>
        <w:t xml:space="preserve"> России работ по стандартизации оборонной продукции», в соответствии с которым на ФГУП «НИИСУ» возложено обеспечение получения и </w:t>
      </w:r>
      <w:proofErr w:type="gramStart"/>
      <w:r w:rsidRPr="009F3BEB">
        <w:rPr>
          <w:sz w:val="28"/>
          <w:szCs w:val="28"/>
        </w:rPr>
        <w:t>хранения</w:t>
      </w:r>
      <w:proofErr w:type="gramEnd"/>
      <w:r w:rsidRPr="009F3BEB">
        <w:rPr>
          <w:sz w:val="28"/>
          <w:szCs w:val="28"/>
        </w:rPr>
        <w:t xml:space="preserve"> представляемых Головными организациями копий документов по стандартизации, включенных в Сводный перечень.</w:t>
      </w:r>
    </w:p>
    <w:p w:rsidR="009F3BEB" w:rsidRPr="009F3BEB" w:rsidRDefault="009F3BEB" w:rsidP="009F3BEB">
      <w:pPr>
        <w:pStyle w:val="a6"/>
        <w:numPr>
          <w:ilvl w:val="2"/>
          <w:numId w:val="19"/>
        </w:numPr>
        <w:spacing w:before="0" w:beforeAutospacing="0" w:after="0"/>
        <w:ind w:left="0" w:firstLine="709"/>
        <w:jc w:val="both"/>
        <w:rPr>
          <w:sz w:val="28"/>
          <w:szCs w:val="28"/>
        </w:rPr>
      </w:pPr>
      <w:r w:rsidRPr="009F3BEB">
        <w:rPr>
          <w:b/>
          <w:bCs/>
          <w:sz w:val="28"/>
          <w:szCs w:val="28"/>
        </w:rPr>
        <w:t>ФГУП «НИИСУ» в период с 05.05.2010 по настоящее время бездействует, а именно не осуществляет хранение и официальное издание заинтересованным организациям Отраслевых стандартов по Титановому крепежу, а также не уполномочило иную организацию на исполнение указанных функций.</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&lt;…&gt;*</w:t>
      </w:r>
    </w:p>
    <w:p w:rsidR="009F3BEB" w:rsidRPr="009F3BEB" w:rsidRDefault="009F3BEB" w:rsidP="009F3BEB">
      <w:pPr>
        <w:pStyle w:val="a6"/>
        <w:spacing w:before="0" w:beforeAutospacing="0" w:after="0"/>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В этой связи, по мнению ФГУП «НИИСУ», ОАО «Нормаль» до настоящего времени является головной организацией по стандартизации авиационных крепежных изделий и обладает полномочиями по распространению отраслевых стандартов по Титановому крепежу.</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Комиссия, изучив вышеизложенные нормативные акты, пришла к выводу о том, что полномочия ОАО «Нормаль» в области стандартизации авиационных </w:t>
      </w:r>
      <w:r w:rsidRPr="009F3BEB">
        <w:rPr>
          <w:sz w:val="28"/>
          <w:szCs w:val="28"/>
        </w:rPr>
        <w:lastRenderedPageBreak/>
        <w:t xml:space="preserve">крепежных изделий прекращены с момента издания приказа </w:t>
      </w:r>
      <w:proofErr w:type="spellStart"/>
      <w:r w:rsidRPr="009F3BEB">
        <w:rPr>
          <w:sz w:val="28"/>
          <w:szCs w:val="28"/>
        </w:rPr>
        <w:t>Минпромторга</w:t>
      </w:r>
      <w:proofErr w:type="spellEnd"/>
      <w:r w:rsidRPr="009F3BEB">
        <w:rPr>
          <w:sz w:val="28"/>
          <w:szCs w:val="28"/>
        </w:rPr>
        <w:t xml:space="preserve"> России от 05.05.2010 №372, которым ФГУП «НИИСУ» определено головной организацией по стандартизации оборонной продукции в области авиационной промышленности.</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Учитывая изложенное, Комиссия не может согласиться с доводом ФГУП «НИИСУ» о том, что в отношении Титанового крепежа Головной организацией является ОАО «Нормаль», которая осуществляет хранение и распространение Отраслевых стандартов по Титановому крепежу. </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Комиссией установлено, что с 05.05.2010 года </w:t>
      </w:r>
      <w:r w:rsidRPr="009F3BEB">
        <w:rPr>
          <w:b/>
          <w:bCs/>
          <w:sz w:val="28"/>
          <w:szCs w:val="28"/>
        </w:rPr>
        <w:t>Головной организацией</w:t>
      </w:r>
      <w:r w:rsidRPr="009F3BEB">
        <w:rPr>
          <w:sz w:val="28"/>
          <w:szCs w:val="28"/>
        </w:rPr>
        <w:t xml:space="preserve"> в отношении Титанового крепежа </w:t>
      </w:r>
      <w:r w:rsidRPr="009F3BEB">
        <w:rPr>
          <w:b/>
          <w:bCs/>
          <w:sz w:val="28"/>
          <w:szCs w:val="28"/>
        </w:rPr>
        <w:t xml:space="preserve">является ФГУП «НИИСУ», которое </w:t>
      </w:r>
      <w:r w:rsidRPr="009F3BEB">
        <w:rPr>
          <w:sz w:val="28"/>
          <w:szCs w:val="28"/>
        </w:rPr>
        <w:t>должно осуществлять распространение Отраслевых стандартов по Титановому крепежу.</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Однако в период с 05.05.2010 года по настоящее время </w:t>
      </w:r>
      <w:r w:rsidRPr="009F3BEB">
        <w:rPr>
          <w:b/>
          <w:bCs/>
          <w:sz w:val="28"/>
          <w:szCs w:val="28"/>
        </w:rPr>
        <w:t>ФГУП «НИИСУ» бездействовало и не предпринимало действий</w:t>
      </w:r>
      <w:r w:rsidRPr="009F3BEB">
        <w:rPr>
          <w:sz w:val="28"/>
          <w:szCs w:val="28"/>
        </w:rPr>
        <w:t xml:space="preserve"> по осуществлению функции распространения Отраслевых стандартов по Титановому крепежу. </w:t>
      </w:r>
    </w:p>
    <w:p w:rsidR="009F3BEB" w:rsidRPr="009F3BEB" w:rsidRDefault="009F3BEB" w:rsidP="009F3BEB">
      <w:pPr>
        <w:pStyle w:val="a6"/>
        <w:spacing w:before="0" w:beforeAutospacing="0" w:after="0"/>
        <w:ind w:firstLine="709"/>
        <w:jc w:val="both"/>
        <w:rPr>
          <w:sz w:val="28"/>
          <w:szCs w:val="28"/>
        </w:rPr>
      </w:pPr>
      <w:r w:rsidRPr="009F3BEB">
        <w:rPr>
          <w:b/>
          <w:bCs/>
          <w:sz w:val="28"/>
          <w:szCs w:val="28"/>
        </w:rPr>
        <w:t>Бездействие ФГУП «НИИСУ» выразилось в следующем:</w:t>
      </w:r>
    </w:p>
    <w:p w:rsidR="009F3BEB" w:rsidRPr="009F3BEB" w:rsidRDefault="009F3BEB" w:rsidP="009F3BEB">
      <w:pPr>
        <w:pStyle w:val="a6"/>
        <w:numPr>
          <w:ilvl w:val="2"/>
          <w:numId w:val="20"/>
        </w:numPr>
        <w:spacing w:before="0" w:beforeAutospacing="0" w:after="0"/>
        <w:ind w:left="0" w:firstLine="709"/>
        <w:jc w:val="both"/>
        <w:rPr>
          <w:sz w:val="28"/>
          <w:szCs w:val="28"/>
        </w:rPr>
      </w:pPr>
      <w:r w:rsidRPr="009F3BEB">
        <w:rPr>
          <w:sz w:val="28"/>
          <w:szCs w:val="28"/>
        </w:rPr>
        <w:t xml:space="preserve">ФГУП «НИИСУ» в период с 05.05.2010 по настоящее время </w:t>
      </w:r>
      <w:r w:rsidRPr="009F3BEB">
        <w:rPr>
          <w:b/>
          <w:bCs/>
          <w:sz w:val="28"/>
          <w:szCs w:val="28"/>
        </w:rPr>
        <w:t>не осуществляло хранение</w:t>
      </w:r>
      <w:r w:rsidRPr="009F3BEB">
        <w:rPr>
          <w:sz w:val="28"/>
          <w:szCs w:val="28"/>
        </w:rPr>
        <w:t xml:space="preserve"> </w:t>
      </w:r>
      <w:r w:rsidRPr="009F3BEB">
        <w:rPr>
          <w:b/>
          <w:bCs/>
          <w:sz w:val="28"/>
          <w:szCs w:val="28"/>
        </w:rPr>
        <w:t>подлинников Отраслевых стандартов по Титановому крепежу и не предпринимало каких-либо действий по их получению либо наделению соответствующими полномочиями их фактического держателя - ОАО «Нормаль».</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&lt;…&gt;*</w:t>
      </w:r>
    </w:p>
    <w:p w:rsidR="009F3BEB" w:rsidRPr="009F3BEB" w:rsidRDefault="009F3BEB" w:rsidP="009F3BEB">
      <w:pPr>
        <w:pStyle w:val="a6"/>
        <w:spacing w:before="0" w:beforeAutospacing="0" w:after="0"/>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Однако до настоящего времени отсутствует какой-либо документ, изданный ФГУП «НИИСУ», в соответствии с которым ОАО «Нормаль» или иная организация назначена Базовой организацией по Титановому крепежу (данное обстоятельство подтверждено </w:t>
      </w:r>
      <w:proofErr w:type="spellStart"/>
      <w:r w:rsidRPr="009F3BEB">
        <w:rPr>
          <w:sz w:val="28"/>
          <w:szCs w:val="28"/>
        </w:rPr>
        <w:t>педставителем</w:t>
      </w:r>
      <w:proofErr w:type="spellEnd"/>
      <w:r w:rsidRPr="009F3BEB">
        <w:rPr>
          <w:sz w:val="28"/>
          <w:szCs w:val="28"/>
        </w:rPr>
        <w:t xml:space="preserve"> ФГУП «НИИСУ» на заседании Комиссии от 30.07.2013).</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2) ФГУП «НИИСУ» в период с 05.05.2010 по настоящее время </w:t>
      </w:r>
      <w:r w:rsidRPr="009F3BEB">
        <w:rPr>
          <w:b/>
          <w:bCs/>
          <w:sz w:val="28"/>
          <w:szCs w:val="28"/>
        </w:rPr>
        <w:t>не осуществляло действий по обеспечению заинтересованных организаций официальными изданиями Отраслевых стандартов по Титановому крепежу</w:t>
      </w:r>
      <w:r w:rsidRPr="009F3BEB">
        <w:rPr>
          <w:sz w:val="28"/>
          <w:szCs w:val="28"/>
        </w:rPr>
        <w:t>.</w:t>
      </w:r>
    </w:p>
    <w:p w:rsidR="009F3BEB" w:rsidRPr="009F3BEB" w:rsidRDefault="009F3BEB" w:rsidP="009F3BEB">
      <w:pPr>
        <w:pStyle w:val="a6"/>
        <w:spacing w:before="0" w:beforeAutospacing="0" w:after="0"/>
        <w:ind w:firstLine="709"/>
        <w:jc w:val="both"/>
        <w:rPr>
          <w:sz w:val="28"/>
          <w:szCs w:val="28"/>
        </w:rPr>
      </w:pPr>
      <w:r w:rsidRPr="009F3BEB">
        <w:rPr>
          <w:sz w:val="28"/>
          <w:szCs w:val="28"/>
        </w:rPr>
        <w:t>Поскольку право распространения документов по стандартизации оборонной продукции принадлежит исключительно Головной организации, ФГУП «НИИСУ», не исполняя функцию хранения подлинников отраслевых стандартов по Титановому крепежу, не осуществляло и их официального издания.</w:t>
      </w:r>
    </w:p>
    <w:p w:rsidR="009F3BEB" w:rsidRPr="009F3BEB" w:rsidRDefault="009F3BEB" w:rsidP="009F3BEB">
      <w:pPr>
        <w:pStyle w:val="a6"/>
        <w:spacing w:before="0" w:beforeAutospacing="0" w:after="0"/>
        <w:ind w:firstLine="709"/>
        <w:jc w:val="both"/>
        <w:rPr>
          <w:sz w:val="28"/>
          <w:szCs w:val="28"/>
        </w:rPr>
      </w:pPr>
      <w:r w:rsidRPr="009F3BEB">
        <w:rPr>
          <w:sz w:val="28"/>
          <w:szCs w:val="28"/>
        </w:rPr>
        <w:t>Как следует из результатов рассмотрения дела № 1 10/50-12, организациям, обращавшимся с просьбой о предоставлении актуализированных Отраслевых стандартов по Титановому крепежу, ФГУП «НИИСУ» сообщало о необходимости обращения к ОАО «Нормаль», как к разработчику и держателю фонда нормативной документации (письма ФГУП «НИИСУ» от 29.11.2011 № 4338/108р, от 30.01.2012 № 2/551р).</w:t>
      </w:r>
    </w:p>
    <w:p w:rsidR="009F3BEB" w:rsidRPr="009F3BEB" w:rsidRDefault="009F3BEB" w:rsidP="009F3BEB">
      <w:pPr>
        <w:pStyle w:val="a6"/>
        <w:spacing w:before="0" w:beforeAutospacing="0" w:after="0"/>
        <w:ind w:firstLine="709"/>
        <w:jc w:val="both"/>
        <w:rPr>
          <w:sz w:val="28"/>
          <w:szCs w:val="28"/>
        </w:rPr>
      </w:pPr>
      <w:r w:rsidRPr="009F3BEB">
        <w:rPr>
          <w:b/>
          <w:bCs/>
          <w:sz w:val="28"/>
          <w:szCs w:val="28"/>
        </w:rPr>
        <w:lastRenderedPageBreak/>
        <w:t xml:space="preserve">3) </w:t>
      </w:r>
      <w:r w:rsidRPr="009F3BEB">
        <w:rPr>
          <w:sz w:val="28"/>
          <w:szCs w:val="28"/>
        </w:rPr>
        <w:t xml:space="preserve">ФГУП «НИИСУ» в период с 05.05.2010 по настоящее время </w:t>
      </w:r>
      <w:r w:rsidRPr="009F3BEB">
        <w:rPr>
          <w:b/>
          <w:bCs/>
          <w:sz w:val="28"/>
          <w:szCs w:val="28"/>
        </w:rPr>
        <w:t>не определило порядок распространения Отраслевых стандартов по Титановому крепежу</w:t>
      </w:r>
      <w:r w:rsidRPr="009F3BEB">
        <w:rPr>
          <w:sz w:val="28"/>
          <w:szCs w:val="28"/>
        </w:rPr>
        <w:t>, согласованный с информационным центром стандартизации оборонной продукции.</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Отраслевые стандарты по Титановому крепежу не содержат информации, составляющей государственную тайну. </w:t>
      </w:r>
    </w:p>
    <w:p w:rsidR="009F3BEB" w:rsidRPr="009F3BEB" w:rsidRDefault="009F3BEB" w:rsidP="009F3BEB">
      <w:pPr>
        <w:pStyle w:val="a6"/>
        <w:spacing w:before="0" w:beforeAutospacing="0" w:after="0"/>
        <w:ind w:firstLine="709"/>
        <w:jc w:val="both"/>
        <w:rPr>
          <w:sz w:val="28"/>
          <w:szCs w:val="28"/>
        </w:rPr>
      </w:pPr>
    </w:p>
    <w:p w:rsidR="009F3BEB" w:rsidRDefault="009F3BEB" w:rsidP="009F3BEB">
      <w:pPr>
        <w:pStyle w:val="a6"/>
        <w:spacing w:before="0" w:beforeAutospacing="0" w:after="0"/>
        <w:ind w:firstLine="709"/>
        <w:jc w:val="both"/>
        <w:rPr>
          <w:sz w:val="28"/>
          <w:szCs w:val="28"/>
        </w:rPr>
      </w:pPr>
      <w:r w:rsidRPr="009F3BEB">
        <w:rPr>
          <w:sz w:val="28"/>
          <w:szCs w:val="28"/>
        </w:rPr>
        <w:t>&lt;…&gt;*</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Вместе с тем, ФГУП «НИИСУ» с момента закрепления за ним функций Головной организации по авиационной продукции (с 05.05.2010) до настоящего времени не определило порядок распространения стандартов отраслей и изменений к ним, в том числе Отраслевых стандартов по Титановому крепежу.</w:t>
      </w:r>
    </w:p>
    <w:p w:rsidR="009F3BEB" w:rsidRPr="009F3BEB" w:rsidRDefault="009F3BEB" w:rsidP="009F3BEB">
      <w:pPr>
        <w:pStyle w:val="a6"/>
        <w:spacing w:before="0" w:beforeAutospacing="0" w:after="0"/>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&lt;…&gt;*</w:t>
      </w:r>
    </w:p>
    <w:p w:rsidR="009F3BEB" w:rsidRPr="009F3BEB" w:rsidRDefault="009F3BEB" w:rsidP="009F3BEB">
      <w:pPr>
        <w:pStyle w:val="a6"/>
        <w:spacing w:before="0" w:beforeAutospacing="0" w:after="0"/>
        <w:jc w:val="both"/>
        <w:rPr>
          <w:sz w:val="28"/>
          <w:szCs w:val="28"/>
        </w:rPr>
      </w:pPr>
    </w:p>
    <w:p w:rsidR="009F3BEB" w:rsidRDefault="009F3BEB" w:rsidP="009F3BEB">
      <w:pPr>
        <w:pStyle w:val="a6"/>
        <w:spacing w:before="0" w:beforeAutospacing="0" w:after="0"/>
        <w:ind w:firstLine="709"/>
        <w:jc w:val="both"/>
        <w:rPr>
          <w:sz w:val="28"/>
          <w:szCs w:val="28"/>
        </w:rPr>
      </w:pPr>
      <w:r w:rsidRPr="009F3BEB">
        <w:rPr>
          <w:sz w:val="28"/>
          <w:szCs w:val="28"/>
        </w:rPr>
        <w:t>Комиссия, изучив представленные материалы, пришла к следующим выводам.</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А) &lt;…&gt;*</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Б) Положения ОСТ 1 00382-86 не соответствуют следующим нормативным правовым актам: Постановлению Правительства РФ № 822 и приказу </w:t>
      </w:r>
      <w:proofErr w:type="spellStart"/>
      <w:r w:rsidRPr="009F3BEB">
        <w:rPr>
          <w:sz w:val="28"/>
          <w:szCs w:val="28"/>
        </w:rPr>
        <w:t>Минпромторга</w:t>
      </w:r>
      <w:proofErr w:type="spellEnd"/>
      <w:r w:rsidRPr="009F3BEB">
        <w:rPr>
          <w:sz w:val="28"/>
          <w:szCs w:val="28"/>
        </w:rPr>
        <w:t xml:space="preserve"> России от 05.05.2010 № 372.</w:t>
      </w:r>
    </w:p>
    <w:p w:rsidR="009F3BEB" w:rsidRPr="009F3BEB" w:rsidRDefault="009F3BEB" w:rsidP="009F3BEB">
      <w:pPr>
        <w:pStyle w:val="a6"/>
        <w:spacing w:before="0" w:beforeAutospacing="0" w:after="0"/>
        <w:ind w:firstLine="709"/>
        <w:jc w:val="both"/>
        <w:rPr>
          <w:sz w:val="28"/>
          <w:szCs w:val="28"/>
        </w:rPr>
      </w:pPr>
      <w:r w:rsidRPr="009F3BEB">
        <w:rPr>
          <w:sz w:val="28"/>
          <w:szCs w:val="28"/>
        </w:rPr>
        <w:t>Так, в соответствии с подпунктом «в» пункта 26 Положения об особенностях стандартизации оборонной продукции (Постановление Правительства РФ № 822), головные организации по стандартизации оборонной продукции определяются государственными заказчиками.</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&lt;…&gt;*</w:t>
      </w:r>
    </w:p>
    <w:p w:rsidR="009F3BEB" w:rsidRPr="009F3BEB" w:rsidRDefault="009F3BEB" w:rsidP="009F3BEB">
      <w:pPr>
        <w:pStyle w:val="a6"/>
        <w:spacing w:before="0" w:beforeAutospacing="0" w:after="0"/>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Таким образом, пункт 1.3. ОСТ 1 00382-86 противоречит подпункту «в» пункта 26 Положения об особенностях стандартизации оборонной продукции (Постановление Правительства РФ № 822).</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Кроме того, &lt;…&gt;* не соответствует приказу </w:t>
      </w:r>
      <w:proofErr w:type="spellStart"/>
      <w:r w:rsidRPr="009F3BEB">
        <w:rPr>
          <w:sz w:val="28"/>
          <w:szCs w:val="28"/>
        </w:rPr>
        <w:t>Минпромторга</w:t>
      </w:r>
      <w:proofErr w:type="spellEnd"/>
      <w:r w:rsidRPr="009F3BEB">
        <w:rPr>
          <w:sz w:val="28"/>
          <w:szCs w:val="28"/>
        </w:rPr>
        <w:t xml:space="preserve"> России от 05.05.2010 №372, изданного во исполнение подпункта «в» пункта 26 Положения об особенностях стандартизации оборонной продукции. </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Ранее Комиссией установлено, что приказом </w:t>
      </w:r>
      <w:proofErr w:type="spellStart"/>
      <w:r w:rsidRPr="009F3BEB">
        <w:rPr>
          <w:sz w:val="28"/>
          <w:szCs w:val="28"/>
        </w:rPr>
        <w:t>Минпромторга</w:t>
      </w:r>
      <w:proofErr w:type="spellEnd"/>
      <w:r w:rsidRPr="009F3BEB">
        <w:rPr>
          <w:sz w:val="28"/>
          <w:szCs w:val="28"/>
        </w:rPr>
        <w:t xml:space="preserve"> России от 05.05.2010 №372 функции головной организации по стандартизации оборонной продукции в отношении Титанового крепежа возложены на ФГУП «НИИСУ».</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Таким образом, перечень головных организаций по стандартизации, закрепленный в пункте 1.3. ОСТ 1 00382-86, не соответствует перечню головных организаций по стандартизации оборонной продукции, определенному в приказе </w:t>
      </w:r>
      <w:proofErr w:type="spellStart"/>
      <w:r w:rsidRPr="009F3BEB">
        <w:rPr>
          <w:sz w:val="28"/>
          <w:szCs w:val="28"/>
        </w:rPr>
        <w:t>Минпромторга</w:t>
      </w:r>
      <w:proofErr w:type="spellEnd"/>
      <w:r w:rsidRPr="009F3BEB">
        <w:rPr>
          <w:sz w:val="28"/>
          <w:szCs w:val="28"/>
        </w:rPr>
        <w:t xml:space="preserve"> России от 05.05.2010 №372.</w:t>
      </w:r>
    </w:p>
    <w:p w:rsidR="009F3BEB" w:rsidRPr="009F3BEB" w:rsidRDefault="009F3BEB" w:rsidP="009F3BEB">
      <w:pPr>
        <w:pStyle w:val="a6"/>
        <w:spacing w:before="0" w:beforeAutospacing="0" w:after="0"/>
        <w:ind w:firstLine="709"/>
        <w:jc w:val="both"/>
        <w:rPr>
          <w:sz w:val="28"/>
          <w:szCs w:val="28"/>
        </w:rPr>
      </w:pPr>
      <w:r w:rsidRPr="009F3BEB">
        <w:rPr>
          <w:sz w:val="28"/>
          <w:szCs w:val="28"/>
        </w:rPr>
        <w:lastRenderedPageBreak/>
        <w:t xml:space="preserve">Учитывая изложенное, Комиссия ФАС России установила противоречие положений ОСТ 1 00382-86, регламентирующих порядок распространения Отраслевых стандартов по Титановому крепежу, Постановлению Правительства РФ №822 и приказу </w:t>
      </w:r>
      <w:proofErr w:type="spellStart"/>
      <w:r w:rsidRPr="009F3BEB">
        <w:rPr>
          <w:sz w:val="28"/>
          <w:szCs w:val="28"/>
        </w:rPr>
        <w:t>Минпромторга</w:t>
      </w:r>
      <w:proofErr w:type="spellEnd"/>
      <w:r w:rsidRPr="009F3BEB">
        <w:rPr>
          <w:sz w:val="28"/>
          <w:szCs w:val="28"/>
        </w:rPr>
        <w:t xml:space="preserve"> России от 05.05.2010 №372, имеющим большую юридическую силу. В связи с этим, Комиссия полагает, что к рассматриваемым правоотношениям подлежат применению положения Постановления Правительства РФ №822 и приказа </w:t>
      </w:r>
      <w:proofErr w:type="spellStart"/>
      <w:r w:rsidRPr="009F3BEB">
        <w:rPr>
          <w:sz w:val="28"/>
          <w:szCs w:val="28"/>
        </w:rPr>
        <w:t>Минпромторга</w:t>
      </w:r>
      <w:proofErr w:type="spellEnd"/>
      <w:r w:rsidRPr="009F3BEB">
        <w:rPr>
          <w:sz w:val="28"/>
          <w:szCs w:val="28"/>
        </w:rPr>
        <w:t xml:space="preserve"> России от 05.05.2010 №372.</w:t>
      </w:r>
    </w:p>
    <w:p w:rsidR="009F3BEB" w:rsidRPr="009F3BEB" w:rsidRDefault="009F3BEB" w:rsidP="009F3BEB">
      <w:pPr>
        <w:pStyle w:val="a6"/>
        <w:spacing w:before="0" w:beforeAutospacing="0" w:after="0"/>
        <w:ind w:firstLine="709"/>
        <w:jc w:val="both"/>
        <w:rPr>
          <w:sz w:val="28"/>
          <w:szCs w:val="28"/>
        </w:rPr>
      </w:pPr>
      <w:r w:rsidRPr="009F3BEB">
        <w:rPr>
          <w:sz w:val="28"/>
          <w:szCs w:val="28"/>
        </w:rPr>
        <w:t>В) Отсутствует какой-либо документ ФГУП «НИИСУ», согласованный с информационным центром стандартизации оборонной продукции, устанавливающий, что порядок распространения стандартов отраслей Сводного перечня, в том числе Отраслевых стандартов по Титановому крепежу, определен ОСТ 1 00382-86.</w:t>
      </w:r>
    </w:p>
    <w:p w:rsidR="009F3BEB" w:rsidRPr="009F3BEB" w:rsidRDefault="009F3BEB" w:rsidP="009F3BEB">
      <w:pPr>
        <w:pStyle w:val="a6"/>
        <w:spacing w:before="0" w:beforeAutospacing="0" w:after="0"/>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&lt;…&gt;*</w:t>
      </w:r>
    </w:p>
    <w:p w:rsidR="009F3BEB" w:rsidRPr="009F3BEB" w:rsidRDefault="009F3BEB" w:rsidP="009F3BEB">
      <w:pPr>
        <w:pStyle w:val="a6"/>
        <w:spacing w:before="0" w:beforeAutospacing="0" w:after="0"/>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При этом ОСТ 1 00382-86 не определен в качестве документа, регламентирующего этот порядок. </w:t>
      </w:r>
    </w:p>
    <w:p w:rsidR="009F3BEB" w:rsidRPr="009F3BEB" w:rsidRDefault="009F3BEB" w:rsidP="009F3BEB">
      <w:pPr>
        <w:pStyle w:val="a6"/>
        <w:spacing w:before="0" w:beforeAutospacing="0" w:after="0"/>
        <w:ind w:firstLine="709"/>
        <w:jc w:val="both"/>
        <w:rPr>
          <w:sz w:val="28"/>
          <w:szCs w:val="28"/>
        </w:rPr>
      </w:pPr>
      <w:r w:rsidRPr="009F3BEB">
        <w:rPr>
          <w:sz w:val="28"/>
          <w:szCs w:val="28"/>
        </w:rPr>
        <w:t>Комиссия считает, что довод ФГУП «НИИСУ» об использовании ОСТ 1 00382-86 в качестве документа, регламентирующего порядок распространения отраслевых стандартов по Титановому крепежу, является не доказанным, безосновательным и противоречащим действующим нормативным актам.</w:t>
      </w:r>
    </w:p>
    <w:p w:rsidR="009F3BEB" w:rsidRPr="009F3BEB" w:rsidRDefault="009F3BEB" w:rsidP="009F3BEB">
      <w:pPr>
        <w:pStyle w:val="a6"/>
        <w:spacing w:before="0" w:beforeAutospacing="0" w:after="0"/>
        <w:ind w:firstLine="709"/>
        <w:jc w:val="both"/>
        <w:rPr>
          <w:sz w:val="28"/>
          <w:szCs w:val="28"/>
        </w:rPr>
      </w:pPr>
      <w:r w:rsidRPr="009F3BEB">
        <w:rPr>
          <w:sz w:val="28"/>
          <w:szCs w:val="28"/>
        </w:rPr>
        <w:t>Какого-либо иного документа, устанавливающего порядок распространения отраслевых стандартов по Титановому крепежу, Комиссией не выявлено.</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Таким образом, в период с 05.05.2010 по настоящее время отсутствует порядок распространения отраслевых стандартов по Титановому крепежу. </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Учитывая изложенное, Комиссия пришла к выводу о том, что </w:t>
      </w:r>
      <w:r w:rsidRPr="009F3BEB">
        <w:rPr>
          <w:b/>
          <w:bCs/>
          <w:sz w:val="28"/>
          <w:szCs w:val="28"/>
        </w:rPr>
        <w:t>в период с 05.05.2010 по настоящее время ФГУП «НИИСУ» бездействовало и не осуществляло функцию по распространению Отраслевых стандартов по Титановому крепежу.</w:t>
      </w:r>
    </w:p>
    <w:p w:rsidR="009F3BEB" w:rsidRPr="009F3BEB" w:rsidRDefault="009F3BEB" w:rsidP="009F3BEB">
      <w:pPr>
        <w:pStyle w:val="a6"/>
        <w:spacing w:before="0" w:beforeAutospacing="0" w:after="0"/>
        <w:ind w:firstLine="709"/>
        <w:jc w:val="both"/>
        <w:rPr>
          <w:sz w:val="28"/>
          <w:szCs w:val="28"/>
        </w:rPr>
      </w:pPr>
      <w:r w:rsidRPr="009F3BEB">
        <w:rPr>
          <w:b/>
          <w:bCs/>
          <w:sz w:val="28"/>
          <w:szCs w:val="28"/>
        </w:rPr>
        <w:t>4. Бездействие ФГУП «НИИСУ» могло привести к ограничению конкуренции на рынке Титанового крепежа.</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Как </w:t>
      </w:r>
      <w:proofErr w:type="spellStart"/>
      <w:r w:rsidRPr="009F3BEB">
        <w:rPr>
          <w:sz w:val="28"/>
          <w:szCs w:val="28"/>
        </w:rPr>
        <w:t>уставновлено</w:t>
      </w:r>
      <w:proofErr w:type="spellEnd"/>
      <w:r w:rsidRPr="009F3BEB">
        <w:rPr>
          <w:sz w:val="28"/>
          <w:szCs w:val="28"/>
        </w:rPr>
        <w:t xml:space="preserve"> Комиссией и следует из результатов дела № 1 10/50-12, для производства и последующей реализации Титанового крепежа, организации необходимо получить актуализированные Отраслевые стандарты по Титановому крепежу.</w:t>
      </w:r>
    </w:p>
    <w:p w:rsidR="009F3BEB" w:rsidRPr="009F3BEB" w:rsidRDefault="009F3BEB" w:rsidP="009F3BEB">
      <w:pPr>
        <w:pStyle w:val="a6"/>
        <w:spacing w:before="0" w:beforeAutospacing="0" w:after="0"/>
        <w:ind w:firstLine="709"/>
        <w:jc w:val="both"/>
        <w:rPr>
          <w:sz w:val="28"/>
          <w:szCs w:val="28"/>
        </w:rPr>
      </w:pPr>
      <w:r w:rsidRPr="009F3BEB">
        <w:rPr>
          <w:sz w:val="28"/>
          <w:szCs w:val="28"/>
        </w:rPr>
        <w:t>Приобрести Отраслевые стандарты по Титановому крепежу возможно у организации, осуществляющей хранение подлинников этих документов.</w:t>
      </w:r>
    </w:p>
    <w:p w:rsidR="009F3BEB" w:rsidRPr="009F3BEB" w:rsidRDefault="009F3BEB" w:rsidP="009F3BEB">
      <w:pPr>
        <w:pStyle w:val="a6"/>
        <w:spacing w:before="0" w:beforeAutospacing="0" w:after="0"/>
        <w:ind w:firstLine="709"/>
        <w:jc w:val="both"/>
        <w:rPr>
          <w:sz w:val="28"/>
          <w:szCs w:val="28"/>
        </w:rPr>
      </w:pPr>
      <w:r w:rsidRPr="009F3BEB">
        <w:rPr>
          <w:sz w:val="28"/>
          <w:szCs w:val="28"/>
        </w:rPr>
        <w:t>Поскольку ФГУП «НИИСУ» не осуществляло хранение Отраслевых стандартов по Титановому крепежу, получить официальные издания этих документов заинтересованные организации могли исключительно у ОАО «Нормаль».</w:t>
      </w:r>
    </w:p>
    <w:p w:rsidR="009F3BEB" w:rsidRPr="009F3BEB" w:rsidRDefault="009F3BEB" w:rsidP="009F3BEB">
      <w:pPr>
        <w:pStyle w:val="a6"/>
        <w:spacing w:before="0" w:beforeAutospacing="0" w:after="0"/>
        <w:ind w:firstLine="709"/>
        <w:jc w:val="both"/>
        <w:rPr>
          <w:sz w:val="28"/>
          <w:szCs w:val="28"/>
        </w:rPr>
      </w:pPr>
      <w:r w:rsidRPr="009F3BEB">
        <w:rPr>
          <w:sz w:val="28"/>
          <w:szCs w:val="28"/>
        </w:rPr>
        <w:lastRenderedPageBreak/>
        <w:t>Таким образом, потенциальный производитель Титанового крепежа вынужден обращаться к своему конкуренту ОАО «Нормаль» с целью получения актуализированных Отраслевых стандартов по Титановому крепежу.</w:t>
      </w:r>
    </w:p>
    <w:p w:rsidR="009F3BEB" w:rsidRPr="009F3BEB" w:rsidRDefault="009F3BEB" w:rsidP="009F3BEB">
      <w:pPr>
        <w:pStyle w:val="a6"/>
        <w:spacing w:before="0" w:beforeAutospacing="0" w:after="0"/>
        <w:ind w:firstLine="709"/>
        <w:jc w:val="both"/>
        <w:rPr>
          <w:sz w:val="28"/>
          <w:szCs w:val="28"/>
        </w:rPr>
      </w:pPr>
      <w:r w:rsidRPr="009F3BEB">
        <w:rPr>
          <w:sz w:val="28"/>
          <w:szCs w:val="28"/>
        </w:rPr>
        <w:t>В условиях отсутствия порядка распространения отраслевых стандартов, определенного ФГУП «НИИСУ», ОАО «Нормаль» имеет возможность не предоставлять заинтересованным организациям официальные издания Отраслевых стандартов по Титановому крепежу, тем самым препятствовать доступу на товарный рынок.</w:t>
      </w:r>
    </w:p>
    <w:p w:rsidR="009F3BEB" w:rsidRPr="009F3BEB" w:rsidRDefault="009F3BEB" w:rsidP="009F3BEB">
      <w:pPr>
        <w:pStyle w:val="a6"/>
        <w:spacing w:before="0" w:beforeAutospacing="0" w:after="0"/>
        <w:ind w:firstLine="709"/>
        <w:jc w:val="both"/>
        <w:rPr>
          <w:sz w:val="28"/>
          <w:szCs w:val="28"/>
        </w:rPr>
      </w:pPr>
      <w:r w:rsidRPr="009F3BEB">
        <w:rPr>
          <w:sz w:val="28"/>
          <w:szCs w:val="28"/>
        </w:rPr>
        <w:t>Отсутствие у заинтересованных организаций возможности получить актуальные Отраслевые стандарты по Титановому крепежу создает возможность для ОАО «Нормаль» в одностороннем порядке воздействовать на общие условия обращения товара на рынке Титанового крепежа, и может привести к сокращению числа потенциальных хозяйствующих субъектов, не входящих в одну группу лиц, на товарном рынке.</w:t>
      </w:r>
    </w:p>
    <w:p w:rsidR="009F3BEB" w:rsidRPr="009F3BEB" w:rsidRDefault="009F3BEB" w:rsidP="009F3BEB">
      <w:pPr>
        <w:pStyle w:val="a6"/>
        <w:spacing w:before="0" w:beforeAutospacing="0" w:after="0"/>
        <w:ind w:firstLine="709"/>
        <w:jc w:val="both"/>
        <w:rPr>
          <w:sz w:val="28"/>
          <w:szCs w:val="28"/>
        </w:rPr>
      </w:pPr>
      <w:proofErr w:type="gramStart"/>
      <w:r w:rsidRPr="009F3BEB">
        <w:rPr>
          <w:sz w:val="28"/>
          <w:szCs w:val="28"/>
        </w:rPr>
        <w:t>В соответствии с пунктом 17 статьи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а также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roofErr w:type="gramEnd"/>
    </w:p>
    <w:p w:rsidR="009F3BEB" w:rsidRPr="009F3BEB" w:rsidRDefault="009F3BEB" w:rsidP="009F3BEB">
      <w:pPr>
        <w:pStyle w:val="a6"/>
        <w:spacing w:before="0" w:beforeAutospacing="0" w:after="0"/>
        <w:ind w:firstLine="709"/>
        <w:jc w:val="both"/>
        <w:rPr>
          <w:sz w:val="28"/>
          <w:szCs w:val="28"/>
        </w:rPr>
      </w:pPr>
      <w:r w:rsidRPr="009F3BEB">
        <w:rPr>
          <w:sz w:val="28"/>
          <w:szCs w:val="28"/>
        </w:rPr>
        <w:t>Таким образом, бездействие ФГУП «НИИСУ» может привести к ограничению конкуренции на рынке Титанового крепежа.</w:t>
      </w:r>
    </w:p>
    <w:p w:rsidR="009F3BEB" w:rsidRPr="009F3BEB" w:rsidRDefault="009F3BEB" w:rsidP="009F3BEB">
      <w:pPr>
        <w:pStyle w:val="a6"/>
        <w:spacing w:before="0" w:beforeAutospacing="0" w:after="0"/>
        <w:ind w:firstLine="709"/>
        <w:jc w:val="both"/>
        <w:rPr>
          <w:sz w:val="28"/>
          <w:szCs w:val="28"/>
        </w:rPr>
      </w:pPr>
      <w:r w:rsidRPr="009F3BEB">
        <w:rPr>
          <w:b/>
          <w:bCs/>
          <w:sz w:val="28"/>
          <w:szCs w:val="28"/>
        </w:rPr>
        <w:t>5. Бездействие ФГУП «НИИСУ» в период с 05.05.2010 по настоящее время привело к ограничению конкуренции на рынке Титанового крепежа.</w:t>
      </w:r>
    </w:p>
    <w:p w:rsidR="009F3BEB" w:rsidRPr="009F3BEB" w:rsidRDefault="009F3BEB" w:rsidP="009F3BEB">
      <w:pPr>
        <w:pStyle w:val="a6"/>
        <w:spacing w:before="0" w:beforeAutospacing="0" w:after="0"/>
        <w:ind w:firstLine="709"/>
        <w:jc w:val="both"/>
        <w:rPr>
          <w:sz w:val="28"/>
          <w:szCs w:val="28"/>
        </w:rPr>
      </w:pPr>
      <w:proofErr w:type="gramStart"/>
      <w:r w:rsidRPr="009F3BEB">
        <w:rPr>
          <w:sz w:val="28"/>
          <w:szCs w:val="28"/>
        </w:rPr>
        <w:t>Согласно информации, представленной ООО «НПО «</w:t>
      </w:r>
      <w:proofErr w:type="spellStart"/>
      <w:r w:rsidRPr="009F3BEB">
        <w:rPr>
          <w:sz w:val="28"/>
          <w:szCs w:val="28"/>
        </w:rPr>
        <w:t>Сплав-Ти</w:t>
      </w:r>
      <w:proofErr w:type="spellEnd"/>
      <w:r w:rsidRPr="009F3BEB">
        <w:rPr>
          <w:sz w:val="28"/>
          <w:szCs w:val="28"/>
        </w:rPr>
        <w:t>» в рамках рассмотрения дела № 1 10/50-12, данная организация обладает необходимыми производственными мощностями для изготовления Титанового крепежа, а также прутков из титанового сплава ВТ-16 (письмо ООО «НПО «</w:t>
      </w:r>
      <w:proofErr w:type="spellStart"/>
      <w:r w:rsidRPr="009F3BEB">
        <w:rPr>
          <w:sz w:val="28"/>
          <w:szCs w:val="28"/>
        </w:rPr>
        <w:t>Сплав-Ти</w:t>
      </w:r>
      <w:proofErr w:type="spellEnd"/>
      <w:r w:rsidRPr="009F3BEB">
        <w:rPr>
          <w:sz w:val="28"/>
          <w:szCs w:val="28"/>
        </w:rPr>
        <w:t xml:space="preserve">» от 03.11.2011 № 143, </w:t>
      </w:r>
      <w:proofErr w:type="spellStart"/>
      <w:r w:rsidRPr="009F3BEB">
        <w:rPr>
          <w:sz w:val="28"/>
          <w:szCs w:val="28"/>
        </w:rPr>
        <w:t>вх</w:t>
      </w:r>
      <w:proofErr w:type="spellEnd"/>
      <w:r w:rsidRPr="009F3BEB">
        <w:rPr>
          <w:sz w:val="28"/>
          <w:szCs w:val="28"/>
        </w:rPr>
        <w:t>.</w:t>
      </w:r>
      <w:proofErr w:type="gramEnd"/>
      <w:r w:rsidRPr="009F3BEB">
        <w:rPr>
          <w:sz w:val="28"/>
          <w:szCs w:val="28"/>
        </w:rPr>
        <w:t xml:space="preserve"> ФАС России от 23.11.2011 № </w:t>
      </w:r>
      <w:proofErr w:type="spellStart"/>
      <w:r w:rsidRPr="009F3BEB">
        <w:rPr>
          <w:sz w:val="28"/>
          <w:szCs w:val="28"/>
        </w:rPr>
        <w:t>Эл</w:t>
      </w:r>
      <w:proofErr w:type="gramStart"/>
      <w:r w:rsidRPr="009F3BEB">
        <w:rPr>
          <w:sz w:val="28"/>
          <w:szCs w:val="28"/>
        </w:rPr>
        <w:t>.п</w:t>
      </w:r>
      <w:proofErr w:type="spellEnd"/>
      <w:proofErr w:type="gramEnd"/>
      <w:r w:rsidRPr="009F3BEB">
        <w:rPr>
          <w:sz w:val="28"/>
          <w:szCs w:val="28"/>
        </w:rPr>
        <w:t>. 9018).</w:t>
      </w:r>
    </w:p>
    <w:p w:rsidR="009F3BEB" w:rsidRPr="009F3BEB" w:rsidRDefault="009F3BEB" w:rsidP="009F3BEB">
      <w:pPr>
        <w:pStyle w:val="a6"/>
        <w:spacing w:before="0" w:beforeAutospacing="0" w:after="0"/>
        <w:ind w:firstLine="709"/>
        <w:jc w:val="both"/>
        <w:rPr>
          <w:sz w:val="28"/>
          <w:szCs w:val="28"/>
        </w:rPr>
      </w:pPr>
      <w:r w:rsidRPr="009F3BEB">
        <w:rPr>
          <w:sz w:val="28"/>
          <w:szCs w:val="28"/>
        </w:rPr>
        <w:t>ООО «НПО «</w:t>
      </w:r>
      <w:proofErr w:type="spellStart"/>
      <w:r w:rsidRPr="009F3BEB">
        <w:rPr>
          <w:sz w:val="28"/>
          <w:szCs w:val="28"/>
        </w:rPr>
        <w:t>Сплав-Ти</w:t>
      </w:r>
      <w:proofErr w:type="spellEnd"/>
      <w:r w:rsidRPr="009F3BEB">
        <w:rPr>
          <w:sz w:val="28"/>
          <w:szCs w:val="28"/>
        </w:rPr>
        <w:t>» освоило производство Титанового крепежа и в апреле 2011 года заключило договор с ОАО «</w:t>
      </w:r>
      <w:proofErr w:type="spellStart"/>
      <w:r w:rsidRPr="009F3BEB">
        <w:rPr>
          <w:sz w:val="28"/>
          <w:szCs w:val="28"/>
        </w:rPr>
        <w:t>КнААПО</w:t>
      </w:r>
      <w:proofErr w:type="spellEnd"/>
      <w:r w:rsidRPr="009F3BEB">
        <w:rPr>
          <w:sz w:val="28"/>
          <w:szCs w:val="28"/>
        </w:rPr>
        <w:t xml:space="preserve">» на поставку данного вида продукции (договор поставки от 08.04.2011 № 110). </w:t>
      </w:r>
    </w:p>
    <w:p w:rsidR="009F3BEB" w:rsidRPr="009F3BEB" w:rsidRDefault="009F3BEB" w:rsidP="009F3BEB">
      <w:pPr>
        <w:pStyle w:val="a6"/>
        <w:spacing w:before="0" w:beforeAutospacing="0" w:after="0"/>
        <w:ind w:firstLine="709"/>
        <w:jc w:val="both"/>
        <w:rPr>
          <w:sz w:val="28"/>
          <w:szCs w:val="28"/>
        </w:rPr>
      </w:pPr>
      <w:r w:rsidRPr="009F3BEB">
        <w:rPr>
          <w:sz w:val="28"/>
          <w:szCs w:val="28"/>
        </w:rPr>
        <w:t>По результатам рассмотрения дела № 1 10/50-12 установлено, что на момент принятия решения по этому делу произведенная продукция ООО «НПО «</w:t>
      </w:r>
      <w:proofErr w:type="spellStart"/>
      <w:r w:rsidRPr="009F3BEB">
        <w:rPr>
          <w:sz w:val="28"/>
          <w:szCs w:val="28"/>
        </w:rPr>
        <w:t>Сплав-Ти</w:t>
      </w:r>
      <w:proofErr w:type="spellEnd"/>
      <w:r w:rsidRPr="009F3BEB">
        <w:rPr>
          <w:sz w:val="28"/>
          <w:szCs w:val="28"/>
        </w:rPr>
        <w:t>» не была поставлена.</w:t>
      </w:r>
    </w:p>
    <w:p w:rsidR="009F3BEB" w:rsidRPr="009F3BEB" w:rsidRDefault="009F3BEB" w:rsidP="009F3BEB">
      <w:pPr>
        <w:pStyle w:val="a6"/>
        <w:spacing w:before="0" w:beforeAutospacing="0" w:after="0"/>
        <w:ind w:firstLine="709"/>
        <w:jc w:val="both"/>
        <w:rPr>
          <w:sz w:val="28"/>
          <w:szCs w:val="28"/>
        </w:rPr>
      </w:pPr>
      <w:r w:rsidRPr="009F3BEB">
        <w:rPr>
          <w:sz w:val="28"/>
          <w:szCs w:val="28"/>
        </w:rPr>
        <w:t>ОАО «Нормаль» в октябре 2011 года сообщило потребителям Титанового крепежа ОАО «РСК «МиГ», ОАО «ВАСО», ЗАО «</w:t>
      </w:r>
      <w:proofErr w:type="spellStart"/>
      <w:r w:rsidRPr="009F3BEB">
        <w:rPr>
          <w:sz w:val="28"/>
          <w:szCs w:val="28"/>
        </w:rPr>
        <w:t>Авиастар-СП</w:t>
      </w:r>
      <w:proofErr w:type="spellEnd"/>
      <w:r w:rsidRPr="009F3BEB">
        <w:rPr>
          <w:sz w:val="28"/>
          <w:szCs w:val="28"/>
        </w:rPr>
        <w:t>» (письма от 17.10.2011 №1782, №1779, №1777) и организации, осуществляющей независимую приемку продукции авиационного назначения ОАО «</w:t>
      </w:r>
      <w:proofErr w:type="spellStart"/>
      <w:r w:rsidRPr="009F3BEB">
        <w:rPr>
          <w:sz w:val="28"/>
          <w:szCs w:val="28"/>
        </w:rPr>
        <w:t>Авиатехприемка</w:t>
      </w:r>
      <w:proofErr w:type="spellEnd"/>
      <w:r w:rsidRPr="009F3BEB">
        <w:rPr>
          <w:sz w:val="28"/>
          <w:szCs w:val="28"/>
        </w:rPr>
        <w:t>» (письмо от 13.10.2011 №620) ложные, неточные или искаженные сведения.</w:t>
      </w:r>
    </w:p>
    <w:p w:rsidR="009F3BEB" w:rsidRPr="009F3BEB" w:rsidRDefault="009F3BEB" w:rsidP="009F3BEB">
      <w:pPr>
        <w:pStyle w:val="a6"/>
        <w:spacing w:before="0" w:beforeAutospacing="0" w:after="0"/>
        <w:ind w:firstLine="709"/>
        <w:jc w:val="both"/>
        <w:rPr>
          <w:sz w:val="28"/>
          <w:szCs w:val="28"/>
        </w:rPr>
      </w:pPr>
      <w:r w:rsidRPr="009F3BEB">
        <w:rPr>
          <w:sz w:val="28"/>
          <w:szCs w:val="28"/>
        </w:rPr>
        <w:lastRenderedPageBreak/>
        <w:t>В частности, в указанных письмах сообщалось о том, чт</w:t>
      </w:r>
      <w:proofErr w:type="gramStart"/>
      <w:r w:rsidRPr="009F3BEB">
        <w:rPr>
          <w:sz w:val="28"/>
          <w:szCs w:val="28"/>
        </w:rPr>
        <w:t>о у ООО</w:t>
      </w:r>
      <w:proofErr w:type="gramEnd"/>
      <w:r w:rsidRPr="009F3BEB">
        <w:rPr>
          <w:sz w:val="28"/>
          <w:szCs w:val="28"/>
        </w:rPr>
        <w:t xml:space="preserve"> «НПО «</w:t>
      </w:r>
      <w:proofErr w:type="spellStart"/>
      <w:r w:rsidRPr="009F3BEB">
        <w:rPr>
          <w:sz w:val="28"/>
          <w:szCs w:val="28"/>
        </w:rPr>
        <w:t>Сплав-Ти</w:t>
      </w:r>
      <w:proofErr w:type="spellEnd"/>
      <w:r w:rsidRPr="009F3BEB">
        <w:rPr>
          <w:sz w:val="28"/>
          <w:szCs w:val="28"/>
        </w:rPr>
        <w:t>» отсутствует актуализированная отраслевая документация, изготовление по не актуализированной документации не допускается.</w:t>
      </w:r>
    </w:p>
    <w:p w:rsidR="009F3BEB" w:rsidRPr="009F3BEB" w:rsidRDefault="009F3BEB" w:rsidP="009F3BEB">
      <w:pPr>
        <w:pStyle w:val="a6"/>
        <w:spacing w:before="0" w:beforeAutospacing="0" w:after="0"/>
        <w:ind w:firstLine="709"/>
        <w:jc w:val="both"/>
        <w:rPr>
          <w:sz w:val="28"/>
          <w:szCs w:val="28"/>
        </w:rPr>
      </w:pPr>
      <w:r w:rsidRPr="009F3BEB">
        <w:rPr>
          <w:sz w:val="28"/>
          <w:szCs w:val="28"/>
        </w:rPr>
        <w:t>Согласно информации, представленной ООО «НПО «</w:t>
      </w:r>
      <w:proofErr w:type="spellStart"/>
      <w:r w:rsidRPr="009F3BEB">
        <w:rPr>
          <w:sz w:val="28"/>
          <w:szCs w:val="28"/>
        </w:rPr>
        <w:t>Сплав-Ти</w:t>
      </w:r>
      <w:proofErr w:type="spellEnd"/>
      <w:r w:rsidRPr="009F3BEB">
        <w:rPr>
          <w:sz w:val="28"/>
          <w:szCs w:val="28"/>
        </w:rPr>
        <w:t>» (заседание Комиссии по делу № 1 10/50-12 от 07.08.2012, письм</w:t>
      </w:r>
      <w:proofErr w:type="gramStart"/>
      <w:r w:rsidRPr="009F3BEB">
        <w:rPr>
          <w:sz w:val="28"/>
          <w:szCs w:val="28"/>
        </w:rPr>
        <w:t>о ООО</w:t>
      </w:r>
      <w:proofErr w:type="gramEnd"/>
      <w:r w:rsidRPr="009F3BEB">
        <w:rPr>
          <w:sz w:val="28"/>
          <w:szCs w:val="28"/>
        </w:rPr>
        <w:t xml:space="preserve"> «НПО «</w:t>
      </w:r>
      <w:proofErr w:type="spellStart"/>
      <w:r w:rsidRPr="009F3BEB">
        <w:rPr>
          <w:sz w:val="28"/>
          <w:szCs w:val="28"/>
        </w:rPr>
        <w:t>Сплав-Ти</w:t>
      </w:r>
      <w:proofErr w:type="spellEnd"/>
      <w:r w:rsidRPr="009F3BEB">
        <w:rPr>
          <w:sz w:val="28"/>
          <w:szCs w:val="28"/>
        </w:rPr>
        <w:t>» от 20.06.2012 №151) Отраслевые стандарты по Титановому крепежу можно приобрести в ФГУП «</w:t>
      </w:r>
      <w:proofErr w:type="spellStart"/>
      <w:r w:rsidRPr="009F3BEB">
        <w:rPr>
          <w:sz w:val="28"/>
          <w:szCs w:val="28"/>
        </w:rPr>
        <w:t>Стандартинформ</w:t>
      </w:r>
      <w:proofErr w:type="spellEnd"/>
      <w:r w:rsidRPr="009F3BEB">
        <w:rPr>
          <w:sz w:val="28"/>
          <w:szCs w:val="28"/>
        </w:rPr>
        <w:t>». Однако эти отраслевые стандарты являются не актуализированными, то есть без изменений. ФГУП «</w:t>
      </w:r>
      <w:proofErr w:type="spellStart"/>
      <w:r w:rsidRPr="009F3BEB">
        <w:rPr>
          <w:sz w:val="28"/>
          <w:szCs w:val="28"/>
        </w:rPr>
        <w:t>Стандартинформ</w:t>
      </w:r>
      <w:proofErr w:type="spellEnd"/>
      <w:r w:rsidRPr="009F3BEB">
        <w:rPr>
          <w:sz w:val="28"/>
          <w:szCs w:val="28"/>
        </w:rPr>
        <w:t>» не обладает актуализированными отраслевыми стандартами, поскольку отсутствует обязанность организаций извещать ФГУП «</w:t>
      </w:r>
      <w:proofErr w:type="spellStart"/>
      <w:r w:rsidRPr="009F3BEB">
        <w:rPr>
          <w:sz w:val="28"/>
          <w:szCs w:val="28"/>
        </w:rPr>
        <w:t>Стандартинформ</w:t>
      </w:r>
      <w:proofErr w:type="spellEnd"/>
      <w:r w:rsidRPr="009F3BEB">
        <w:rPr>
          <w:sz w:val="28"/>
          <w:szCs w:val="28"/>
        </w:rPr>
        <w:t>» об изменениях отраслевых стандартов.</w:t>
      </w:r>
    </w:p>
    <w:p w:rsidR="009F3BEB" w:rsidRPr="009F3BEB" w:rsidRDefault="009F3BEB" w:rsidP="009F3BEB">
      <w:pPr>
        <w:pStyle w:val="a6"/>
        <w:spacing w:before="0" w:beforeAutospacing="0" w:after="0"/>
        <w:ind w:firstLine="709"/>
        <w:jc w:val="both"/>
        <w:rPr>
          <w:sz w:val="28"/>
          <w:szCs w:val="28"/>
        </w:rPr>
      </w:pPr>
      <w:r w:rsidRPr="009F3BEB">
        <w:rPr>
          <w:sz w:val="28"/>
          <w:szCs w:val="28"/>
        </w:rPr>
        <w:t>В целях осуществления производства Титанового крепежа по актуализированным Отраслевым стандартам и реализации своей продукц</w:t>
      </w:r>
      <w:proofErr w:type="gramStart"/>
      <w:r w:rsidRPr="009F3BEB">
        <w:rPr>
          <w:sz w:val="28"/>
          <w:szCs w:val="28"/>
        </w:rPr>
        <w:t>ии ООО</w:t>
      </w:r>
      <w:proofErr w:type="gramEnd"/>
      <w:r w:rsidRPr="009F3BEB">
        <w:rPr>
          <w:sz w:val="28"/>
          <w:szCs w:val="28"/>
        </w:rPr>
        <w:t xml:space="preserve"> «НПО «</w:t>
      </w:r>
      <w:proofErr w:type="spellStart"/>
      <w:r w:rsidRPr="009F3BEB">
        <w:rPr>
          <w:sz w:val="28"/>
          <w:szCs w:val="28"/>
        </w:rPr>
        <w:t>Сплав-Ти</w:t>
      </w:r>
      <w:proofErr w:type="spellEnd"/>
      <w:r w:rsidRPr="009F3BEB">
        <w:rPr>
          <w:sz w:val="28"/>
          <w:szCs w:val="28"/>
        </w:rPr>
        <w:t>» обратилось в адрес ОАО «Нормаль» и ФГУП «НИИСУ» с просьбой о предоставлении соответствующих документов (письма ООО «НПО «</w:t>
      </w:r>
      <w:proofErr w:type="spellStart"/>
      <w:r w:rsidRPr="009F3BEB">
        <w:rPr>
          <w:sz w:val="28"/>
          <w:szCs w:val="28"/>
        </w:rPr>
        <w:t>Сплав-Ти</w:t>
      </w:r>
      <w:proofErr w:type="spellEnd"/>
      <w:r w:rsidRPr="009F3BEB">
        <w:rPr>
          <w:sz w:val="28"/>
          <w:szCs w:val="28"/>
        </w:rPr>
        <w:t>» от 21.11.2011 № 144, № 147).</w:t>
      </w:r>
    </w:p>
    <w:p w:rsidR="009F3BEB" w:rsidRPr="009F3BEB" w:rsidRDefault="009F3BEB" w:rsidP="009F3BEB">
      <w:pPr>
        <w:pStyle w:val="a6"/>
        <w:spacing w:before="0" w:beforeAutospacing="0" w:after="0"/>
        <w:ind w:firstLine="709"/>
        <w:jc w:val="both"/>
        <w:rPr>
          <w:sz w:val="28"/>
          <w:szCs w:val="28"/>
        </w:rPr>
      </w:pPr>
      <w:r w:rsidRPr="009F3BEB">
        <w:rPr>
          <w:sz w:val="28"/>
          <w:szCs w:val="28"/>
        </w:rPr>
        <w:t>Однако актуализированные Отраслевые стандарты по Титановому крепежу не были предоставлен</w:t>
      </w:r>
      <w:proofErr w:type="gramStart"/>
      <w:r w:rsidRPr="009F3BEB">
        <w:rPr>
          <w:sz w:val="28"/>
          <w:szCs w:val="28"/>
        </w:rPr>
        <w:t>ы ООО</w:t>
      </w:r>
      <w:proofErr w:type="gramEnd"/>
      <w:r w:rsidRPr="009F3BEB">
        <w:rPr>
          <w:sz w:val="28"/>
          <w:szCs w:val="28"/>
        </w:rPr>
        <w:t xml:space="preserve"> «НПО «</w:t>
      </w:r>
      <w:proofErr w:type="spellStart"/>
      <w:r w:rsidRPr="009F3BEB">
        <w:rPr>
          <w:sz w:val="28"/>
          <w:szCs w:val="28"/>
        </w:rPr>
        <w:t>Сплав-Ти</w:t>
      </w:r>
      <w:proofErr w:type="spellEnd"/>
      <w:r w:rsidRPr="009F3BEB">
        <w:rPr>
          <w:sz w:val="28"/>
          <w:szCs w:val="28"/>
        </w:rPr>
        <w:t>», поскольку:</w:t>
      </w:r>
    </w:p>
    <w:p w:rsidR="009F3BEB" w:rsidRPr="009F3BEB" w:rsidRDefault="009F3BEB" w:rsidP="009F3BEB">
      <w:pPr>
        <w:pStyle w:val="a6"/>
        <w:spacing w:before="0" w:beforeAutospacing="0" w:after="0"/>
        <w:ind w:firstLine="709"/>
        <w:jc w:val="both"/>
        <w:rPr>
          <w:sz w:val="28"/>
          <w:szCs w:val="28"/>
        </w:rPr>
      </w:pPr>
      <w:r w:rsidRPr="009F3BEB">
        <w:rPr>
          <w:sz w:val="28"/>
          <w:szCs w:val="28"/>
        </w:rPr>
        <w:t>1) ФГУП «НИИСУ» не осуществляло распространение Отраслевых стандартов по Титановому крепежу;</w:t>
      </w:r>
    </w:p>
    <w:p w:rsidR="009F3BEB" w:rsidRPr="009F3BEB" w:rsidRDefault="009F3BEB" w:rsidP="009F3BEB">
      <w:pPr>
        <w:pStyle w:val="a6"/>
        <w:spacing w:before="0" w:beforeAutospacing="0" w:after="0"/>
        <w:ind w:firstLine="709"/>
        <w:jc w:val="both"/>
        <w:rPr>
          <w:sz w:val="28"/>
          <w:szCs w:val="28"/>
        </w:rPr>
      </w:pPr>
      <w:r w:rsidRPr="009F3BEB">
        <w:rPr>
          <w:sz w:val="28"/>
          <w:szCs w:val="28"/>
        </w:rPr>
        <w:t>2) ОАО «Нормаль», фактически являясь держателем Отраслевых стандартов по Титановому крепежу, не предоставило их своему потенциальному конкуренту ввиду отсутствия порядка их распространения, определенного ФГУП «НИИСУ»;</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3) порядок распространения отраслевых стандартов, которым руководствовалось ОАО «Нормаль», позволяет не </w:t>
      </w:r>
      <w:proofErr w:type="gramStart"/>
      <w:r w:rsidRPr="009F3BEB">
        <w:rPr>
          <w:sz w:val="28"/>
          <w:szCs w:val="28"/>
        </w:rPr>
        <w:t>предоставлять эти документы</w:t>
      </w:r>
      <w:proofErr w:type="gramEnd"/>
      <w:r w:rsidRPr="009F3BEB">
        <w:rPr>
          <w:sz w:val="28"/>
          <w:szCs w:val="28"/>
        </w:rPr>
        <w:t xml:space="preserve"> потенциальным конкурентам, в том числе ООО «НПО «</w:t>
      </w:r>
      <w:proofErr w:type="spellStart"/>
      <w:r w:rsidRPr="009F3BEB">
        <w:rPr>
          <w:sz w:val="28"/>
          <w:szCs w:val="28"/>
        </w:rPr>
        <w:t>Сплав-Ти</w:t>
      </w:r>
      <w:proofErr w:type="spellEnd"/>
      <w:r w:rsidRPr="009F3BEB">
        <w:rPr>
          <w:sz w:val="28"/>
          <w:szCs w:val="28"/>
        </w:rPr>
        <w:t>».</w:t>
      </w:r>
    </w:p>
    <w:p w:rsidR="009F3BEB" w:rsidRPr="009F3BEB" w:rsidRDefault="009F3BEB" w:rsidP="009F3BEB">
      <w:pPr>
        <w:pStyle w:val="a6"/>
        <w:spacing w:before="0" w:beforeAutospacing="0" w:after="0"/>
        <w:ind w:firstLine="709"/>
        <w:jc w:val="both"/>
        <w:rPr>
          <w:sz w:val="28"/>
          <w:szCs w:val="28"/>
        </w:rPr>
      </w:pPr>
      <w:proofErr w:type="gramStart"/>
      <w:r w:rsidRPr="009F3BEB">
        <w:rPr>
          <w:sz w:val="28"/>
          <w:szCs w:val="28"/>
        </w:rPr>
        <w:t xml:space="preserve">Из письменных пояснений ОАО «Нормаль» (письмо от 28.06.2012 № 277, </w:t>
      </w:r>
      <w:proofErr w:type="spellStart"/>
      <w:r w:rsidRPr="009F3BEB">
        <w:rPr>
          <w:sz w:val="28"/>
          <w:szCs w:val="28"/>
        </w:rPr>
        <w:t>вх</w:t>
      </w:r>
      <w:proofErr w:type="spellEnd"/>
      <w:r w:rsidRPr="009F3BEB">
        <w:rPr>
          <w:sz w:val="28"/>
          <w:szCs w:val="28"/>
        </w:rPr>
        <w:t>.</w:t>
      </w:r>
      <w:proofErr w:type="gramEnd"/>
      <w:r w:rsidRPr="009F3BEB">
        <w:rPr>
          <w:sz w:val="28"/>
          <w:szCs w:val="28"/>
        </w:rPr>
        <w:t xml:space="preserve"> </w:t>
      </w:r>
      <w:proofErr w:type="gramStart"/>
      <w:r w:rsidRPr="009F3BEB">
        <w:rPr>
          <w:sz w:val="28"/>
          <w:szCs w:val="28"/>
        </w:rPr>
        <w:t>ФАС России от 29.06.2012 №36555), полученных в рамках рассмотрения дела № 1 10/50-12, установлено, что данная организация при обеспечении предприятий авиационной отрасли нормативно-технической документацией руководствуется ОСТ 1 00382-86.</w:t>
      </w:r>
      <w:proofErr w:type="gramEnd"/>
    </w:p>
    <w:p w:rsidR="009F3BEB" w:rsidRPr="009F3BEB" w:rsidRDefault="009F3BEB" w:rsidP="009F3BEB">
      <w:pPr>
        <w:pStyle w:val="a6"/>
        <w:spacing w:before="0" w:beforeAutospacing="0" w:after="0"/>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&lt;…&gt;*</w:t>
      </w:r>
    </w:p>
    <w:p w:rsidR="009F3BEB" w:rsidRPr="009F3BEB" w:rsidRDefault="009F3BEB" w:rsidP="009F3BEB">
      <w:pPr>
        <w:pStyle w:val="a6"/>
        <w:spacing w:before="0" w:beforeAutospacing="0" w:after="0"/>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Согласно Федеральному закону от 08.01.1998 № 10-ФЗ «О государственном регулировании развития авиации» авиационная организация, включая </w:t>
      </w:r>
      <w:r w:rsidRPr="009F3BEB">
        <w:rPr>
          <w:b/>
          <w:bCs/>
          <w:sz w:val="28"/>
          <w:szCs w:val="28"/>
        </w:rPr>
        <w:t>авиационное предприятие</w:t>
      </w:r>
      <w:r w:rsidRPr="009F3BEB">
        <w:rPr>
          <w:sz w:val="28"/>
          <w:szCs w:val="28"/>
        </w:rPr>
        <w:t>, - это юридическое лицо независимо от организационно-правовой формы собственности, основной целью деятельности которого являются разработка, производство, испытания, эксплуатация, ремонт и (или) утилизация авиационной техники.</w:t>
      </w:r>
    </w:p>
    <w:p w:rsidR="009F3BEB" w:rsidRPr="009F3BEB" w:rsidRDefault="009F3BEB" w:rsidP="009F3BEB">
      <w:pPr>
        <w:pStyle w:val="a6"/>
        <w:spacing w:before="0" w:beforeAutospacing="0" w:after="0"/>
        <w:ind w:firstLine="709"/>
        <w:jc w:val="both"/>
        <w:rPr>
          <w:sz w:val="28"/>
          <w:szCs w:val="28"/>
        </w:rPr>
      </w:pPr>
      <w:r w:rsidRPr="009F3BEB">
        <w:rPr>
          <w:sz w:val="28"/>
          <w:szCs w:val="28"/>
        </w:rPr>
        <w:t>Вместе с тем, в понятие «авиационная техника» средства крепежа не включены (письмо АР МАК от 02.12.2011 №06.19-2403, статья 1 Федерального закона от 08.01.1998 №10-ФЗ).</w:t>
      </w:r>
    </w:p>
    <w:p w:rsidR="009F3BEB" w:rsidRPr="009F3BEB" w:rsidRDefault="009F3BEB" w:rsidP="009F3BEB">
      <w:pPr>
        <w:pStyle w:val="a6"/>
        <w:spacing w:before="0" w:beforeAutospacing="0" w:after="0"/>
        <w:ind w:firstLine="709"/>
        <w:jc w:val="both"/>
        <w:rPr>
          <w:sz w:val="28"/>
          <w:szCs w:val="28"/>
        </w:rPr>
      </w:pPr>
      <w:proofErr w:type="gramStart"/>
      <w:r w:rsidRPr="009F3BEB">
        <w:rPr>
          <w:sz w:val="28"/>
          <w:szCs w:val="28"/>
        </w:rPr>
        <w:lastRenderedPageBreak/>
        <w:t>По мнению ОАО «Нормаль», ООО «НПО «</w:t>
      </w:r>
      <w:proofErr w:type="spellStart"/>
      <w:r w:rsidRPr="009F3BEB">
        <w:rPr>
          <w:sz w:val="28"/>
          <w:szCs w:val="28"/>
        </w:rPr>
        <w:t>Сплав-Ти</w:t>
      </w:r>
      <w:proofErr w:type="spellEnd"/>
      <w:r w:rsidRPr="009F3BEB">
        <w:rPr>
          <w:sz w:val="28"/>
          <w:szCs w:val="28"/>
        </w:rPr>
        <w:t>» не является авиационным предприятием, поскольку не осуществляет разработку, производство, испытание, эксплуатацию, ремонт и (или) утилизацию авиационной техники.</w:t>
      </w:r>
      <w:proofErr w:type="gramEnd"/>
      <w:r w:rsidRPr="009F3BEB">
        <w:rPr>
          <w:sz w:val="28"/>
          <w:szCs w:val="28"/>
        </w:rPr>
        <w:t xml:space="preserve"> В этой связи основания предоставления ООО «НПО «</w:t>
      </w:r>
      <w:proofErr w:type="spellStart"/>
      <w:r w:rsidRPr="009F3BEB">
        <w:rPr>
          <w:sz w:val="28"/>
          <w:szCs w:val="28"/>
        </w:rPr>
        <w:t>Сплав-Ти</w:t>
      </w:r>
      <w:proofErr w:type="spellEnd"/>
      <w:r w:rsidRPr="009F3BEB">
        <w:rPr>
          <w:sz w:val="28"/>
          <w:szCs w:val="28"/>
        </w:rPr>
        <w:t>» отраслевых стандартов по Титановому крепежу, &lt;…&gt;*, отсутствуют.</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Учитывая изложенное, Комиссия пришла к выводу о том, что отсутствие </w:t>
      </w:r>
      <w:proofErr w:type="gramStart"/>
      <w:r w:rsidRPr="009F3BEB">
        <w:rPr>
          <w:sz w:val="28"/>
          <w:szCs w:val="28"/>
        </w:rPr>
        <w:t>у ООО</w:t>
      </w:r>
      <w:proofErr w:type="gramEnd"/>
      <w:r w:rsidRPr="009F3BEB">
        <w:rPr>
          <w:sz w:val="28"/>
          <w:szCs w:val="28"/>
        </w:rPr>
        <w:t xml:space="preserve"> «НПО «</w:t>
      </w:r>
      <w:proofErr w:type="spellStart"/>
      <w:r w:rsidRPr="009F3BEB">
        <w:rPr>
          <w:sz w:val="28"/>
          <w:szCs w:val="28"/>
        </w:rPr>
        <w:t>Сплав-Ти</w:t>
      </w:r>
      <w:proofErr w:type="spellEnd"/>
      <w:r w:rsidRPr="009F3BEB">
        <w:rPr>
          <w:sz w:val="28"/>
          <w:szCs w:val="28"/>
        </w:rPr>
        <w:t>» актуализированных Отраслевых стандартов не позволило данному хозяйствующему субъекту произвести продукцию, соответствующую требованиям нормативной документации, при наличии производственной возможности, что явилось препятствием доступу на рынок Титанового крепежа.</w:t>
      </w:r>
    </w:p>
    <w:p w:rsidR="009F3BEB" w:rsidRPr="009F3BEB" w:rsidRDefault="009F3BEB" w:rsidP="009F3BEB">
      <w:pPr>
        <w:pStyle w:val="a6"/>
        <w:spacing w:before="0" w:beforeAutospacing="0" w:after="0"/>
        <w:ind w:firstLine="709"/>
        <w:jc w:val="both"/>
        <w:rPr>
          <w:sz w:val="28"/>
          <w:szCs w:val="28"/>
        </w:rPr>
      </w:pPr>
      <w:r w:rsidRPr="009F3BEB">
        <w:rPr>
          <w:sz w:val="28"/>
          <w:szCs w:val="28"/>
        </w:rPr>
        <w:t>Комиссия полагает, что количество хозяйствующих субъектов, не входящих в одну группу лиц, на рынке Титанового крепежа в 2011 году могло увеличиться, если б</w:t>
      </w:r>
      <w:proofErr w:type="gramStart"/>
      <w:r w:rsidRPr="009F3BEB">
        <w:rPr>
          <w:sz w:val="28"/>
          <w:szCs w:val="28"/>
        </w:rPr>
        <w:t>ы ООО</w:t>
      </w:r>
      <w:proofErr w:type="gramEnd"/>
      <w:r w:rsidRPr="009F3BEB">
        <w:rPr>
          <w:sz w:val="28"/>
          <w:szCs w:val="28"/>
        </w:rPr>
        <w:t xml:space="preserve"> «НПО «</w:t>
      </w:r>
      <w:proofErr w:type="spellStart"/>
      <w:r w:rsidRPr="009F3BEB">
        <w:rPr>
          <w:sz w:val="28"/>
          <w:szCs w:val="28"/>
        </w:rPr>
        <w:t>Сплав-Ти</w:t>
      </w:r>
      <w:proofErr w:type="spellEnd"/>
      <w:r w:rsidRPr="009F3BEB">
        <w:rPr>
          <w:sz w:val="28"/>
          <w:szCs w:val="28"/>
        </w:rPr>
        <w:t>» получило актуализированную нормативную документацию. Этот вывод Комиссии основывается на том, чт</w:t>
      </w:r>
      <w:proofErr w:type="gramStart"/>
      <w:r w:rsidRPr="009F3BEB">
        <w:rPr>
          <w:sz w:val="28"/>
          <w:szCs w:val="28"/>
        </w:rPr>
        <w:t>о ООО</w:t>
      </w:r>
      <w:proofErr w:type="gramEnd"/>
      <w:r w:rsidRPr="009F3BEB">
        <w:rPr>
          <w:sz w:val="28"/>
          <w:szCs w:val="28"/>
        </w:rPr>
        <w:t xml:space="preserve"> «НПО «</w:t>
      </w:r>
      <w:proofErr w:type="spellStart"/>
      <w:r w:rsidRPr="009F3BEB">
        <w:rPr>
          <w:sz w:val="28"/>
          <w:szCs w:val="28"/>
        </w:rPr>
        <w:t>Сплав-Ти</w:t>
      </w:r>
      <w:proofErr w:type="spellEnd"/>
      <w:r w:rsidRPr="009F3BEB">
        <w:rPr>
          <w:sz w:val="28"/>
          <w:szCs w:val="28"/>
        </w:rPr>
        <w:t>» в 2011 году заключило с ОАО «</w:t>
      </w:r>
      <w:proofErr w:type="spellStart"/>
      <w:r w:rsidRPr="009F3BEB">
        <w:rPr>
          <w:sz w:val="28"/>
          <w:szCs w:val="28"/>
        </w:rPr>
        <w:t>КнААПО</w:t>
      </w:r>
      <w:proofErr w:type="spellEnd"/>
      <w:r w:rsidRPr="009F3BEB">
        <w:rPr>
          <w:sz w:val="28"/>
          <w:szCs w:val="28"/>
        </w:rPr>
        <w:t>» договор поставки Титанового крепежа.</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Таким образом, бездействие ФГУП «НИИСУ», выразившееся в неисполнении функции </w:t>
      </w:r>
      <w:proofErr w:type="spellStart"/>
      <w:r w:rsidRPr="009F3BEB">
        <w:rPr>
          <w:sz w:val="28"/>
          <w:szCs w:val="28"/>
        </w:rPr>
        <w:t>Минпромторга</w:t>
      </w:r>
      <w:proofErr w:type="spellEnd"/>
      <w:r w:rsidRPr="009F3BEB">
        <w:rPr>
          <w:sz w:val="28"/>
          <w:szCs w:val="28"/>
        </w:rPr>
        <w:t xml:space="preserve"> России по распространению Отраслевых стандартов по Титановому крепежу, создало возможность для ОАО «Нормаль» в одностороннем порядке воздействовать на общие условия обращения товара на рынке Титанового крепежа путем создания для ООО «НПО «</w:t>
      </w:r>
      <w:proofErr w:type="spellStart"/>
      <w:r w:rsidRPr="009F3BEB">
        <w:rPr>
          <w:sz w:val="28"/>
          <w:szCs w:val="28"/>
        </w:rPr>
        <w:t>Сплав-Ти</w:t>
      </w:r>
      <w:proofErr w:type="spellEnd"/>
      <w:r w:rsidRPr="009F3BEB">
        <w:rPr>
          <w:sz w:val="28"/>
          <w:szCs w:val="28"/>
        </w:rPr>
        <w:t>» препятствия доступа на рынок.</w:t>
      </w:r>
    </w:p>
    <w:p w:rsidR="009F3BEB" w:rsidRPr="009F3BEB" w:rsidRDefault="009F3BEB" w:rsidP="009F3BEB">
      <w:pPr>
        <w:pStyle w:val="a6"/>
        <w:spacing w:before="0" w:beforeAutospacing="0" w:after="0"/>
        <w:ind w:firstLine="709"/>
        <w:jc w:val="both"/>
        <w:rPr>
          <w:sz w:val="28"/>
          <w:szCs w:val="28"/>
        </w:rPr>
      </w:pPr>
      <w:r w:rsidRPr="009F3BEB">
        <w:rPr>
          <w:sz w:val="28"/>
          <w:szCs w:val="28"/>
        </w:rPr>
        <w:t>В соответствии с пунктом 17 статьи 4 Закона о защите конкуренции признаком ограничения конкуренции являются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9F3BEB" w:rsidRPr="009F3BEB" w:rsidRDefault="009F3BEB" w:rsidP="009F3BEB">
      <w:pPr>
        <w:pStyle w:val="a6"/>
        <w:spacing w:before="0" w:beforeAutospacing="0" w:after="0"/>
        <w:ind w:firstLine="709"/>
        <w:jc w:val="both"/>
        <w:rPr>
          <w:sz w:val="28"/>
          <w:szCs w:val="28"/>
        </w:rPr>
      </w:pPr>
      <w:r w:rsidRPr="009F3BEB">
        <w:rPr>
          <w:sz w:val="28"/>
          <w:szCs w:val="28"/>
        </w:rPr>
        <w:t>Учитывая изложенное, бездействие ФГУП «НИИСУ» привело к ограничению конкуренции на рынке Титанового крепежа.</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ind w:firstLine="709"/>
        <w:jc w:val="both"/>
        <w:rPr>
          <w:sz w:val="28"/>
          <w:szCs w:val="28"/>
        </w:rPr>
      </w:pPr>
      <w:r w:rsidRPr="009F3BEB">
        <w:rPr>
          <w:sz w:val="28"/>
          <w:szCs w:val="28"/>
          <w:lang w:val="en-US"/>
        </w:rPr>
        <w:t>III</w:t>
      </w:r>
      <w:r w:rsidRPr="009F3BEB">
        <w:rPr>
          <w:sz w:val="28"/>
          <w:szCs w:val="28"/>
        </w:rPr>
        <w:t>. После полного и всестороннего изучения доказательств и обстоятельств дела Комиссия пришла к следующим выводам.</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Распространение Отраслевых стандартов по Титановому крепежу является функцией федерального органа исполнительной власти – </w:t>
      </w:r>
      <w:proofErr w:type="spellStart"/>
      <w:r w:rsidRPr="009F3BEB">
        <w:rPr>
          <w:sz w:val="28"/>
          <w:szCs w:val="28"/>
        </w:rPr>
        <w:t>Минпромторга</w:t>
      </w:r>
      <w:proofErr w:type="spellEnd"/>
      <w:r w:rsidRPr="009F3BEB">
        <w:rPr>
          <w:sz w:val="28"/>
          <w:szCs w:val="28"/>
        </w:rPr>
        <w:t xml:space="preserve"> России, которую осуществляет ФГУП «НИИСУ» на основании Постановления Правительства РФ №822 и приказа </w:t>
      </w:r>
      <w:proofErr w:type="spellStart"/>
      <w:r w:rsidRPr="009F3BEB">
        <w:rPr>
          <w:sz w:val="28"/>
          <w:szCs w:val="28"/>
        </w:rPr>
        <w:t>Минпромторга</w:t>
      </w:r>
      <w:proofErr w:type="spellEnd"/>
      <w:r w:rsidRPr="009F3BEB">
        <w:rPr>
          <w:sz w:val="28"/>
          <w:szCs w:val="28"/>
        </w:rPr>
        <w:t xml:space="preserve"> России от 05.05.2010 №372.</w:t>
      </w:r>
    </w:p>
    <w:p w:rsidR="009F3BEB" w:rsidRPr="009F3BEB" w:rsidRDefault="009F3BEB" w:rsidP="009F3BEB">
      <w:pPr>
        <w:pStyle w:val="a6"/>
        <w:spacing w:before="0" w:beforeAutospacing="0" w:after="0"/>
        <w:ind w:firstLine="709"/>
        <w:jc w:val="both"/>
        <w:rPr>
          <w:sz w:val="28"/>
          <w:szCs w:val="28"/>
        </w:rPr>
      </w:pPr>
      <w:r w:rsidRPr="009F3BEB">
        <w:rPr>
          <w:sz w:val="28"/>
          <w:szCs w:val="28"/>
        </w:rPr>
        <w:t xml:space="preserve">ФГУП «НИИСУ», осуществляя функцию </w:t>
      </w:r>
      <w:proofErr w:type="spellStart"/>
      <w:r w:rsidRPr="009F3BEB">
        <w:rPr>
          <w:sz w:val="28"/>
          <w:szCs w:val="28"/>
        </w:rPr>
        <w:t>Минпромторга</w:t>
      </w:r>
      <w:proofErr w:type="spellEnd"/>
      <w:r w:rsidRPr="009F3BEB">
        <w:rPr>
          <w:sz w:val="28"/>
          <w:szCs w:val="28"/>
        </w:rPr>
        <w:t xml:space="preserve"> России по распространению Отраслевых стандартов по Титановому крепежу, в период с 05.05.2010 по настоящее время бездействует.</w:t>
      </w:r>
    </w:p>
    <w:p w:rsidR="009F3BEB" w:rsidRPr="009F3BEB" w:rsidRDefault="009F3BEB" w:rsidP="009F3BEB">
      <w:pPr>
        <w:pStyle w:val="a6"/>
        <w:spacing w:before="0" w:beforeAutospacing="0" w:after="0"/>
        <w:ind w:firstLine="709"/>
        <w:jc w:val="both"/>
        <w:rPr>
          <w:sz w:val="28"/>
          <w:szCs w:val="28"/>
        </w:rPr>
      </w:pPr>
      <w:r w:rsidRPr="009F3BEB">
        <w:rPr>
          <w:sz w:val="28"/>
          <w:szCs w:val="28"/>
        </w:rPr>
        <w:t>Бездействие ФГУП «НИИСУ» выразилось в следующем:</w:t>
      </w:r>
    </w:p>
    <w:p w:rsidR="009F3BEB" w:rsidRPr="009F3BEB" w:rsidRDefault="009F3BEB" w:rsidP="009F3BEB">
      <w:pPr>
        <w:pStyle w:val="a6"/>
        <w:spacing w:before="0" w:beforeAutospacing="0" w:after="0"/>
        <w:ind w:firstLine="709"/>
        <w:jc w:val="both"/>
        <w:rPr>
          <w:sz w:val="28"/>
          <w:szCs w:val="28"/>
        </w:rPr>
      </w:pPr>
      <w:r w:rsidRPr="009F3BEB">
        <w:rPr>
          <w:sz w:val="28"/>
          <w:szCs w:val="28"/>
        </w:rPr>
        <w:lastRenderedPageBreak/>
        <w:t>1) ФГУП «НИИСУ» в период с 05.05.2010 по настоящее время не осуществляло хранение подлинников Отраслевых стандартов по Титановому крепежу и не предпринимало каких-либо действий по их получению от ОАО «Нормаль» либо наделению соответствующими полномочиями иной организации.</w:t>
      </w:r>
    </w:p>
    <w:p w:rsidR="009F3BEB" w:rsidRPr="009F3BEB" w:rsidRDefault="009F3BEB" w:rsidP="009F3BEB">
      <w:pPr>
        <w:pStyle w:val="a6"/>
        <w:spacing w:before="0" w:beforeAutospacing="0" w:after="0"/>
        <w:ind w:firstLine="709"/>
        <w:jc w:val="both"/>
        <w:rPr>
          <w:sz w:val="28"/>
          <w:szCs w:val="28"/>
        </w:rPr>
      </w:pPr>
      <w:r w:rsidRPr="009F3BEB">
        <w:rPr>
          <w:sz w:val="28"/>
          <w:szCs w:val="28"/>
        </w:rPr>
        <w:t>2) ФГУП «НИИСУ» в период с 05.05.2010 по настоящее время не осуществляло действий по обеспечению заинтересованных организаций официальными изданиями Отраслевых стандартов по Титановому крепежу.</w:t>
      </w:r>
    </w:p>
    <w:p w:rsidR="009F3BEB" w:rsidRPr="009F3BEB" w:rsidRDefault="009F3BEB" w:rsidP="009F3BEB">
      <w:pPr>
        <w:pStyle w:val="a6"/>
        <w:spacing w:before="0" w:beforeAutospacing="0" w:after="0"/>
        <w:ind w:firstLine="709"/>
        <w:jc w:val="both"/>
        <w:rPr>
          <w:sz w:val="28"/>
          <w:szCs w:val="28"/>
        </w:rPr>
      </w:pPr>
      <w:r w:rsidRPr="009F3BEB">
        <w:rPr>
          <w:sz w:val="28"/>
          <w:szCs w:val="28"/>
        </w:rPr>
        <w:t>3) ФГУП «НИИСУ» в период с 05.05.2010 по настоящее время не определило порядок распространения Отраслевых стандартов по Титановому крепежу, согласованный с информационным центром стандартизации оборонной продукции.</w:t>
      </w:r>
    </w:p>
    <w:p w:rsidR="009F3BEB" w:rsidRPr="009F3BEB" w:rsidRDefault="009F3BEB" w:rsidP="009F3BEB">
      <w:pPr>
        <w:pStyle w:val="a6"/>
        <w:spacing w:before="0" w:beforeAutospacing="0" w:after="0"/>
        <w:ind w:firstLine="709"/>
        <w:jc w:val="both"/>
        <w:rPr>
          <w:sz w:val="28"/>
          <w:szCs w:val="28"/>
        </w:rPr>
      </w:pPr>
      <w:r w:rsidRPr="009F3BEB">
        <w:rPr>
          <w:sz w:val="28"/>
          <w:szCs w:val="28"/>
        </w:rPr>
        <w:t>Бездействие ФГУП «НИИСУ» привело к отсутствию у заинтересованных организаций возможности получить актуализированные Отраслевые стандарты по Титановому крепежу, что может создать препятствия доступу на товарный рынок и, как следствие, привести к сокращению числа потенциальных хозяйствующих субъектов, не входящих в одну группу лиц, на товарном рынке.</w:t>
      </w:r>
    </w:p>
    <w:p w:rsidR="009F3BEB" w:rsidRPr="009F3BEB" w:rsidRDefault="009F3BEB" w:rsidP="009F3BEB">
      <w:pPr>
        <w:pStyle w:val="a6"/>
        <w:spacing w:before="0" w:beforeAutospacing="0" w:after="0"/>
        <w:ind w:firstLine="709"/>
        <w:jc w:val="both"/>
        <w:rPr>
          <w:sz w:val="28"/>
          <w:szCs w:val="28"/>
        </w:rPr>
      </w:pPr>
      <w:r w:rsidRPr="009F3BEB">
        <w:rPr>
          <w:sz w:val="28"/>
          <w:szCs w:val="28"/>
        </w:rPr>
        <w:t>Так, бездействие ФГУП «НИИСУ» создало возможность для ОАО «Нормаль» в одностороннем порядке воздействовать на общие условия обращения товара на рынке Титанового крепежа, путем создания для ООО «НПО «</w:t>
      </w:r>
      <w:proofErr w:type="spellStart"/>
      <w:r w:rsidRPr="009F3BEB">
        <w:rPr>
          <w:sz w:val="28"/>
          <w:szCs w:val="28"/>
        </w:rPr>
        <w:t>Сплав-Ти</w:t>
      </w:r>
      <w:proofErr w:type="spellEnd"/>
      <w:r w:rsidRPr="009F3BEB">
        <w:rPr>
          <w:sz w:val="28"/>
          <w:szCs w:val="28"/>
        </w:rPr>
        <w:t>» препятствия доступу на этот рынок.</w:t>
      </w:r>
    </w:p>
    <w:p w:rsidR="009F3BEB" w:rsidRPr="009F3BEB" w:rsidRDefault="009F3BEB" w:rsidP="009F3BEB">
      <w:pPr>
        <w:pStyle w:val="a6"/>
        <w:spacing w:before="0" w:beforeAutospacing="0" w:after="0"/>
        <w:ind w:firstLine="709"/>
        <w:jc w:val="both"/>
        <w:rPr>
          <w:sz w:val="28"/>
          <w:szCs w:val="28"/>
        </w:rPr>
      </w:pPr>
      <w:r w:rsidRPr="009F3BEB">
        <w:rPr>
          <w:sz w:val="28"/>
          <w:szCs w:val="28"/>
        </w:rPr>
        <w:t>В соответствии с пунктом 17 статьи 4 Закона о защите конкуренции признаком ограничения конкуренции являются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9F3BEB" w:rsidRPr="009F3BEB" w:rsidRDefault="009F3BEB" w:rsidP="009F3BEB">
      <w:pPr>
        <w:pStyle w:val="a6"/>
        <w:spacing w:before="0" w:beforeAutospacing="0" w:after="0"/>
        <w:ind w:firstLine="709"/>
        <w:jc w:val="both"/>
        <w:rPr>
          <w:sz w:val="28"/>
          <w:szCs w:val="28"/>
        </w:rPr>
      </w:pPr>
      <w:r w:rsidRPr="009F3BEB">
        <w:rPr>
          <w:sz w:val="28"/>
          <w:szCs w:val="28"/>
        </w:rPr>
        <w:t>Учитывая изложенное, бездействие ФГУП «НИИСУ» в период с 05.05.2010 по настоящее время могло привести в период с 2011 по 2012 год и привело к ограничению конкуренции на рынке Титанового крепежа.</w:t>
      </w:r>
    </w:p>
    <w:p w:rsidR="009F3BEB" w:rsidRPr="009F3BEB" w:rsidRDefault="009F3BEB" w:rsidP="009F3BEB">
      <w:pPr>
        <w:pStyle w:val="a6"/>
        <w:spacing w:before="0" w:beforeAutospacing="0" w:after="0"/>
        <w:ind w:firstLine="709"/>
        <w:jc w:val="both"/>
        <w:rPr>
          <w:sz w:val="28"/>
          <w:szCs w:val="28"/>
        </w:rPr>
      </w:pPr>
      <w:proofErr w:type="gramStart"/>
      <w:r w:rsidRPr="009F3BEB">
        <w:rPr>
          <w:sz w:val="28"/>
          <w:szCs w:val="28"/>
        </w:rPr>
        <w:t>В соответствии с пунктом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w:t>
      </w:r>
      <w:proofErr w:type="gramEnd"/>
      <w:r w:rsidRPr="009F3BEB">
        <w:rPr>
          <w:sz w:val="28"/>
          <w:szCs w:val="28"/>
        </w:rPr>
        <w:t xml:space="preserve">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9F3BEB" w:rsidRPr="009F3BEB" w:rsidRDefault="009F3BEB" w:rsidP="009F3BEB">
      <w:pPr>
        <w:pStyle w:val="a6"/>
        <w:spacing w:before="0" w:beforeAutospacing="0" w:after="0"/>
        <w:ind w:firstLine="709"/>
        <w:jc w:val="both"/>
        <w:rPr>
          <w:sz w:val="28"/>
          <w:szCs w:val="28"/>
        </w:rPr>
      </w:pPr>
      <w:r w:rsidRPr="009F3BEB">
        <w:rPr>
          <w:sz w:val="28"/>
          <w:szCs w:val="28"/>
        </w:rPr>
        <w:t>Учитывая изложенное, в период с 05.05.2010 по настоящее время ФГУП «НИИСУ», являясь организацией, осуществляющей функции федерального органа исполнительной власти (</w:t>
      </w:r>
      <w:proofErr w:type="spellStart"/>
      <w:r w:rsidRPr="009F3BEB">
        <w:rPr>
          <w:sz w:val="28"/>
          <w:szCs w:val="28"/>
        </w:rPr>
        <w:t>Минпромторга</w:t>
      </w:r>
      <w:proofErr w:type="spellEnd"/>
      <w:r w:rsidRPr="009F3BEB">
        <w:rPr>
          <w:sz w:val="28"/>
          <w:szCs w:val="28"/>
        </w:rPr>
        <w:t xml:space="preserve"> России) по распространению Отраслевых стандартов по Титановому крепежу, фактически бездействовало. </w:t>
      </w:r>
      <w:r w:rsidRPr="009F3BEB">
        <w:rPr>
          <w:sz w:val="28"/>
          <w:szCs w:val="28"/>
        </w:rPr>
        <w:lastRenderedPageBreak/>
        <w:t>Бездействие ФГУП «НИИСУ» могло привести и привело к ограничению конкуренции на рынке Титанового крепежа, что подпадает под запрет, установленный частью 1 статьи 15 Закона о защите конкуренции.</w:t>
      </w:r>
    </w:p>
    <w:p w:rsidR="009F3BEB" w:rsidRPr="009F3BEB" w:rsidRDefault="009F3BEB" w:rsidP="009F3BEB">
      <w:pPr>
        <w:pStyle w:val="a6"/>
        <w:spacing w:before="0" w:beforeAutospacing="0" w:after="0"/>
        <w:ind w:firstLine="709"/>
        <w:jc w:val="both"/>
        <w:rPr>
          <w:sz w:val="28"/>
          <w:szCs w:val="28"/>
        </w:rPr>
      </w:pPr>
      <w:r w:rsidRPr="009F3BEB">
        <w:rPr>
          <w:sz w:val="28"/>
          <w:szCs w:val="28"/>
        </w:rPr>
        <w:t>Руководствуясь статьей 23, частью 1 статьи 39, частями 1-4 статьи 41, частью 1 статьи 43, статьей 48, частью 1 статьи 49 Закона о защите конкуренции, Комиссия</w:t>
      </w:r>
    </w:p>
    <w:p w:rsidR="009F3BEB" w:rsidRPr="009F3BEB" w:rsidRDefault="009F3BEB" w:rsidP="009F3BEB">
      <w:pPr>
        <w:pStyle w:val="a6"/>
        <w:spacing w:before="0" w:beforeAutospacing="0" w:after="0"/>
        <w:ind w:firstLine="709"/>
        <w:jc w:val="both"/>
        <w:rPr>
          <w:sz w:val="28"/>
          <w:szCs w:val="28"/>
        </w:rPr>
      </w:pPr>
    </w:p>
    <w:p w:rsidR="009F3BEB" w:rsidRPr="009F3BEB" w:rsidRDefault="009F3BEB" w:rsidP="009F3BEB">
      <w:pPr>
        <w:pStyle w:val="a6"/>
        <w:spacing w:before="0" w:beforeAutospacing="0" w:after="0"/>
        <w:jc w:val="center"/>
        <w:rPr>
          <w:sz w:val="28"/>
          <w:szCs w:val="28"/>
        </w:rPr>
      </w:pPr>
      <w:r w:rsidRPr="009F3BEB">
        <w:rPr>
          <w:sz w:val="28"/>
          <w:szCs w:val="28"/>
        </w:rPr>
        <w:t>РЕШИЛА:</w:t>
      </w:r>
    </w:p>
    <w:p w:rsidR="009F3BEB" w:rsidRPr="009F3BEB" w:rsidRDefault="009F3BEB" w:rsidP="009F3BEB">
      <w:pPr>
        <w:pStyle w:val="a6"/>
        <w:spacing w:before="0" w:beforeAutospacing="0" w:after="0"/>
        <w:ind w:firstLine="709"/>
        <w:jc w:val="both"/>
        <w:rPr>
          <w:sz w:val="28"/>
          <w:szCs w:val="28"/>
        </w:rPr>
      </w:pPr>
    </w:p>
    <w:p w:rsidR="009F3BEB" w:rsidRDefault="009F3BEB" w:rsidP="009F3BEB">
      <w:pPr>
        <w:pStyle w:val="a6"/>
        <w:numPr>
          <w:ilvl w:val="0"/>
          <w:numId w:val="22"/>
        </w:numPr>
        <w:spacing w:before="0" w:beforeAutospacing="0" w:after="0"/>
        <w:ind w:left="0" w:firstLine="709"/>
        <w:jc w:val="both"/>
        <w:rPr>
          <w:sz w:val="28"/>
          <w:szCs w:val="28"/>
        </w:rPr>
      </w:pPr>
      <w:r w:rsidRPr="009F3BEB">
        <w:rPr>
          <w:sz w:val="28"/>
          <w:szCs w:val="28"/>
        </w:rPr>
        <w:t>Признать ФГУП «НИИСУ» нарушившим часть 1 статьи 15 Закона о защите конкуренции в части бездействия, которое может привести и привело к ограничению конкуренции на рынке Титанового крепежа в Российской Федерации.</w:t>
      </w:r>
    </w:p>
    <w:p w:rsidR="009F3BEB" w:rsidRDefault="009F3BEB" w:rsidP="009F3BEB">
      <w:pPr>
        <w:pStyle w:val="a6"/>
        <w:numPr>
          <w:ilvl w:val="0"/>
          <w:numId w:val="22"/>
        </w:numPr>
        <w:spacing w:before="0" w:beforeAutospacing="0" w:after="0"/>
        <w:ind w:left="0" w:firstLine="709"/>
        <w:jc w:val="both"/>
        <w:rPr>
          <w:sz w:val="28"/>
          <w:szCs w:val="28"/>
        </w:rPr>
      </w:pPr>
      <w:proofErr w:type="gramStart"/>
      <w:r w:rsidRPr="009F3BEB">
        <w:rPr>
          <w:sz w:val="28"/>
          <w:szCs w:val="28"/>
        </w:rPr>
        <w:t>Выдать ФГУП «НИИСУ» предписание о прекращении нарушения антимонопольного законодательства и совершении действий, направленных на обеспечение конкуренции, в части обеспечения хранения Отраслевых стандартов по Титановому крепежу в соответствии с действующими нормативными правовыми актами, определения порядка распространения Отраслевых стандартов по Титановому крепежу и обеспечения распространения Отраслевых стандартов по Титановому крепежу в соответствии с указанным порядком.</w:t>
      </w:r>
      <w:proofErr w:type="gramEnd"/>
    </w:p>
    <w:p w:rsidR="009F3BEB" w:rsidRPr="006A21FA" w:rsidRDefault="009F3BEB" w:rsidP="006A21FA">
      <w:pPr>
        <w:pStyle w:val="a6"/>
        <w:spacing w:before="0" w:beforeAutospacing="0" w:after="0"/>
        <w:jc w:val="both"/>
        <w:rPr>
          <w:sz w:val="28"/>
          <w:szCs w:val="28"/>
          <w:lang w:val="en-US"/>
        </w:rPr>
      </w:pPr>
    </w:p>
    <w:p w:rsidR="009F3BEB" w:rsidRDefault="009F3BEB" w:rsidP="009F3BEB">
      <w:pPr>
        <w:pStyle w:val="a6"/>
        <w:spacing w:before="0" w:beforeAutospacing="0" w:after="0"/>
        <w:jc w:val="both"/>
        <w:rPr>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942"/>
      </w:tblGrid>
      <w:tr w:rsidR="009F3BEB" w:rsidTr="009F3BEB">
        <w:tc>
          <w:tcPr>
            <w:tcW w:w="6912" w:type="dxa"/>
          </w:tcPr>
          <w:p w:rsidR="009F3BEB" w:rsidRPr="006A21FA" w:rsidRDefault="009F3BEB" w:rsidP="009F3BEB">
            <w:pPr>
              <w:pStyle w:val="a6"/>
              <w:spacing w:before="0" w:beforeAutospacing="0" w:after="0"/>
              <w:jc w:val="both"/>
              <w:rPr>
                <w:sz w:val="28"/>
                <w:szCs w:val="28"/>
              </w:rPr>
            </w:pPr>
            <w:r w:rsidRPr="006A21FA">
              <w:rPr>
                <w:sz w:val="28"/>
                <w:szCs w:val="28"/>
              </w:rPr>
              <w:t>Председатель Комиссии</w:t>
            </w:r>
          </w:p>
          <w:p w:rsidR="009F3BEB" w:rsidRPr="006A21FA" w:rsidRDefault="009F3BEB" w:rsidP="009F3BEB">
            <w:pPr>
              <w:pStyle w:val="a6"/>
              <w:spacing w:before="0" w:beforeAutospacing="0" w:after="0"/>
              <w:jc w:val="both"/>
              <w:rPr>
                <w:sz w:val="28"/>
                <w:szCs w:val="28"/>
              </w:rPr>
            </w:pPr>
          </w:p>
        </w:tc>
        <w:tc>
          <w:tcPr>
            <w:tcW w:w="2942" w:type="dxa"/>
          </w:tcPr>
          <w:p w:rsidR="009F3BEB" w:rsidRPr="006A21FA" w:rsidRDefault="009F3BEB" w:rsidP="009F3BEB">
            <w:pPr>
              <w:pStyle w:val="a6"/>
              <w:spacing w:before="0" w:beforeAutospacing="0" w:after="0"/>
              <w:jc w:val="both"/>
              <w:rPr>
                <w:sz w:val="28"/>
                <w:szCs w:val="28"/>
              </w:rPr>
            </w:pPr>
            <w:r w:rsidRPr="006A21FA">
              <w:rPr>
                <w:sz w:val="28"/>
                <w:szCs w:val="28"/>
              </w:rPr>
              <w:t>М.А. Овчинников</w:t>
            </w:r>
          </w:p>
        </w:tc>
      </w:tr>
      <w:tr w:rsidR="009F3BEB" w:rsidTr="009F3BEB">
        <w:tc>
          <w:tcPr>
            <w:tcW w:w="6912" w:type="dxa"/>
          </w:tcPr>
          <w:p w:rsidR="009F3BEB" w:rsidRPr="006A21FA" w:rsidRDefault="009F3BEB" w:rsidP="009F3BEB">
            <w:pPr>
              <w:pStyle w:val="a6"/>
              <w:spacing w:before="0" w:beforeAutospacing="0" w:after="0"/>
              <w:jc w:val="both"/>
              <w:rPr>
                <w:sz w:val="28"/>
                <w:szCs w:val="28"/>
              </w:rPr>
            </w:pPr>
            <w:r w:rsidRPr="006A21FA">
              <w:rPr>
                <w:sz w:val="28"/>
                <w:szCs w:val="28"/>
              </w:rPr>
              <w:t>Члены Комиссии:</w:t>
            </w:r>
          </w:p>
        </w:tc>
        <w:tc>
          <w:tcPr>
            <w:tcW w:w="2942" w:type="dxa"/>
          </w:tcPr>
          <w:p w:rsidR="009F3BEB" w:rsidRPr="006A21FA" w:rsidRDefault="009F3BEB" w:rsidP="009F3BEB">
            <w:pPr>
              <w:pStyle w:val="a6"/>
              <w:spacing w:before="0" w:beforeAutospacing="0" w:after="0"/>
              <w:rPr>
                <w:sz w:val="28"/>
                <w:szCs w:val="28"/>
              </w:rPr>
            </w:pPr>
            <w:r w:rsidRPr="006A21FA">
              <w:rPr>
                <w:sz w:val="28"/>
                <w:szCs w:val="28"/>
              </w:rPr>
              <w:t xml:space="preserve">Н.Ф. </w:t>
            </w:r>
            <w:proofErr w:type="spellStart"/>
            <w:r w:rsidRPr="006A21FA">
              <w:rPr>
                <w:sz w:val="28"/>
                <w:szCs w:val="28"/>
              </w:rPr>
              <w:t>Галимханова</w:t>
            </w:r>
            <w:proofErr w:type="spellEnd"/>
          </w:p>
          <w:p w:rsidR="009F3BEB" w:rsidRPr="006A21FA" w:rsidRDefault="009F3BEB" w:rsidP="009F3BEB">
            <w:pPr>
              <w:pStyle w:val="a6"/>
              <w:spacing w:before="0" w:beforeAutospacing="0" w:after="0"/>
              <w:rPr>
                <w:sz w:val="28"/>
                <w:szCs w:val="28"/>
              </w:rPr>
            </w:pPr>
          </w:p>
        </w:tc>
      </w:tr>
      <w:tr w:rsidR="009F3BEB" w:rsidTr="009F3BEB">
        <w:tc>
          <w:tcPr>
            <w:tcW w:w="6912" w:type="dxa"/>
          </w:tcPr>
          <w:p w:rsidR="009F3BEB" w:rsidRPr="006A21FA" w:rsidRDefault="009F3BEB" w:rsidP="009F3BEB">
            <w:pPr>
              <w:pStyle w:val="a6"/>
              <w:spacing w:before="0" w:beforeAutospacing="0" w:after="0"/>
              <w:jc w:val="both"/>
              <w:rPr>
                <w:sz w:val="28"/>
                <w:szCs w:val="28"/>
              </w:rPr>
            </w:pPr>
          </w:p>
        </w:tc>
        <w:tc>
          <w:tcPr>
            <w:tcW w:w="2942" w:type="dxa"/>
          </w:tcPr>
          <w:p w:rsidR="009F3BEB" w:rsidRPr="006A21FA" w:rsidRDefault="009F3BEB" w:rsidP="009F3BEB">
            <w:pPr>
              <w:pStyle w:val="a6"/>
              <w:spacing w:before="0" w:beforeAutospacing="0" w:after="0"/>
              <w:rPr>
                <w:sz w:val="28"/>
                <w:szCs w:val="28"/>
              </w:rPr>
            </w:pPr>
            <w:r w:rsidRPr="006A21FA">
              <w:rPr>
                <w:sz w:val="28"/>
                <w:szCs w:val="28"/>
              </w:rPr>
              <w:t>Н.Н. Зайцева</w:t>
            </w:r>
          </w:p>
          <w:p w:rsidR="009F3BEB" w:rsidRPr="006A21FA" w:rsidRDefault="009F3BEB" w:rsidP="009F3BEB">
            <w:pPr>
              <w:pStyle w:val="a6"/>
              <w:spacing w:before="0" w:beforeAutospacing="0" w:after="0"/>
              <w:rPr>
                <w:sz w:val="28"/>
                <w:szCs w:val="28"/>
              </w:rPr>
            </w:pPr>
          </w:p>
        </w:tc>
      </w:tr>
      <w:tr w:rsidR="009F3BEB" w:rsidTr="009F3BEB">
        <w:tc>
          <w:tcPr>
            <w:tcW w:w="6912" w:type="dxa"/>
          </w:tcPr>
          <w:p w:rsidR="009F3BEB" w:rsidRPr="006A21FA" w:rsidRDefault="009F3BEB" w:rsidP="009F3BEB">
            <w:pPr>
              <w:pStyle w:val="a6"/>
              <w:spacing w:before="0" w:beforeAutospacing="0" w:after="0"/>
              <w:jc w:val="both"/>
              <w:rPr>
                <w:sz w:val="28"/>
                <w:szCs w:val="28"/>
              </w:rPr>
            </w:pPr>
          </w:p>
        </w:tc>
        <w:tc>
          <w:tcPr>
            <w:tcW w:w="2942" w:type="dxa"/>
          </w:tcPr>
          <w:p w:rsidR="009F3BEB" w:rsidRPr="006A21FA" w:rsidRDefault="009F3BEB" w:rsidP="009F3BEB">
            <w:pPr>
              <w:pStyle w:val="a6"/>
              <w:spacing w:before="0" w:beforeAutospacing="0" w:after="0"/>
              <w:rPr>
                <w:sz w:val="28"/>
                <w:szCs w:val="28"/>
              </w:rPr>
            </w:pPr>
            <w:r w:rsidRPr="006A21FA">
              <w:rPr>
                <w:sz w:val="28"/>
                <w:szCs w:val="28"/>
              </w:rPr>
              <w:t xml:space="preserve">К.О. </w:t>
            </w:r>
            <w:proofErr w:type="spellStart"/>
            <w:r w:rsidRPr="006A21FA">
              <w:rPr>
                <w:sz w:val="28"/>
                <w:szCs w:val="28"/>
              </w:rPr>
              <w:t>Тавакова</w:t>
            </w:r>
            <w:proofErr w:type="spellEnd"/>
          </w:p>
          <w:p w:rsidR="009F3BEB" w:rsidRPr="006A21FA" w:rsidRDefault="009F3BEB" w:rsidP="009F3BEB">
            <w:pPr>
              <w:pStyle w:val="a6"/>
              <w:spacing w:before="0" w:beforeAutospacing="0" w:after="0"/>
              <w:rPr>
                <w:sz w:val="28"/>
                <w:szCs w:val="28"/>
              </w:rPr>
            </w:pPr>
          </w:p>
        </w:tc>
      </w:tr>
      <w:tr w:rsidR="009F3BEB" w:rsidTr="009F3BEB">
        <w:tc>
          <w:tcPr>
            <w:tcW w:w="6912" w:type="dxa"/>
          </w:tcPr>
          <w:p w:rsidR="009F3BEB" w:rsidRPr="006A21FA" w:rsidRDefault="009F3BEB" w:rsidP="009F3BEB">
            <w:pPr>
              <w:pStyle w:val="a6"/>
              <w:spacing w:before="0" w:beforeAutospacing="0" w:after="0"/>
              <w:jc w:val="both"/>
              <w:rPr>
                <w:sz w:val="28"/>
                <w:szCs w:val="28"/>
              </w:rPr>
            </w:pPr>
          </w:p>
        </w:tc>
        <w:tc>
          <w:tcPr>
            <w:tcW w:w="2942" w:type="dxa"/>
          </w:tcPr>
          <w:p w:rsidR="009F3BEB" w:rsidRPr="006A21FA" w:rsidRDefault="009F3BEB" w:rsidP="009F3BEB">
            <w:pPr>
              <w:pStyle w:val="a6"/>
              <w:spacing w:before="0" w:beforeAutospacing="0" w:after="0"/>
              <w:rPr>
                <w:sz w:val="28"/>
                <w:szCs w:val="28"/>
              </w:rPr>
            </w:pPr>
            <w:r w:rsidRPr="006A21FA">
              <w:rPr>
                <w:sz w:val="28"/>
                <w:szCs w:val="28"/>
              </w:rPr>
              <w:t xml:space="preserve">Г.В. </w:t>
            </w:r>
            <w:proofErr w:type="spellStart"/>
            <w:r w:rsidRPr="006A21FA">
              <w:rPr>
                <w:sz w:val="28"/>
                <w:szCs w:val="28"/>
              </w:rPr>
              <w:t>Николайзен</w:t>
            </w:r>
            <w:proofErr w:type="spellEnd"/>
          </w:p>
          <w:p w:rsidR="009F3BEB" w:rsidRPr="006A21FA" w:rsidRDefault="009F3BEB" w:rsidP="009F3BEB">
            <w:pPr>
              <w:pStyle w:val="a6"/>
              <w:spacing w:before="0" w:beforeAutospacing="0" w:after="0"/>
              <w:rPr>
                <w:sz w:val="28"/>
                <w:szCs w:val="28"/>
              </w:rPr>
            </w:pPr>
          </w:p>
        </w:tc>
      </w:tr>
      <w:tr w:rsidR="009F3BEB" w:rsidTr="009F3BEB">
        <w:tc>
          <w:tcPr>
            <w:tcW w:w="6912" w:type="dxa"/>
          </w:tcPr>
          <w:p w:rsidR="009F3BEB" w:rsidRPr="006A21FA" w:rsidRDefault="009F3BEB" w:rsidP="009F3BEB">
            <w:pPr>
              <w:pStyle w:val="a6"/>
              <w:spacing w:before="0" w:beforeAutospacing="0" w:after="0"/>
              <w:jc w:val="both"/>
              <w:rPr>
                <w:sz w:val="28"/>
                <w:szCs w:val="28"/>
              </w:rPr>
            </w:pPr>
          </w:p>
        </w:tc>
        <w:tc>
          <w:tcPr>
            <w:tcW w:w="2942" w:type="dxa"/>
          </w:tcPr>
          <w:p w:rsidR="009F3BEB" w:rsidRPr="006A21FA" w:rsidRDefault="009F3BEB" w:rsidP="009F3BEB">
            <w:pPr>
              <w:pStyle w:val="a6"/>
              <w:spacing w:before="0" w:beforeAutospacing="0" w:after="0"/>
              <w:rPr>
                <w:sz w:val="28"/>
                <w:szCs w:val="28"/>
              </w:rPr>
            </w:pPr>
            <w:r w:rsidRPr="006A21FA">
              <w:rPr>
                <w:sz w:val="28"/>
                <w:szCs w:val="28"/>
              </w:rPr>
              <w:t xml:space="preserve">Н.И. </w:t>
            </w:r>
            <w:proofErr w:type="spellStart"/>
            <w:r w:rsidRPr="006A21FA">
              <w:rPr>
                <w:sz w:val="28"/>
                <w:szCs w:val="28"/>
              </w:rPr>
              <w:t>Стихарева</w:t>
            </w:r>
            <w:proofErr w:type="spellEnd"/>
          </w:p>
          <w:p w:rsidR="009F3BEB" w:rsidRPr="006A21FA" w:rsidRDefault="009F3BEB" w:rsidP="009F3BEB">
            <w:pPr>
              <w:pStyle w:val="a6"/>
              <w:spacing w:before="0" w:beforeAutospacing="0" w:after="0"/>
              <w:rPr>
                <w:sz w:val="28"/>
                <w:szCs w:val="28"/>
              </w:rPr>
            </w:pPr>
          </w:p>
        </w:tc>
      </w:tr>
    </w:tbl>
    <w:p w:rsidR="009F3BEB" w:rsidRDefault="009F3BEB" w:rsidP="009F3BEB">
      <w:pPr>
        <w:pStyle w:val="a6"/>
        <w:spacing w:after="0"/>
      </w:pPr>
    </w:p>
    <w:p w:rsidR="009F3BEB" w:rsidRDefault="009F3BEB" w:rsidP="009F3BEB">
      <w:pPr>
        <w:pStyle w:val="a6"/>
        <w:spacing w:after="0"/>
        <w:ind w:firstLine="709"/>
        <w:jc w:val="both"/>
      </w:pPr>
      <w:r>
        <w:t>Решение может быть обжаловано в течение трех месяцев со дня его принятия в арбитражный суд.</w:t>
      </w:r>
    </w:p>
    <w:p w:rsidR="009F3BEB" w:rsidRDefault="009F3BEB" w:rsidP="009F3BEB">
      <w:pPr>
        <w:pStyle w:val="a6"/>
        <w:spacing w:after="0"/>
        <w:ind w:firstLine="709"/>
        <w:jc w:val="both"/>
      </w:pPr>
      <w:r>
        <w:t>Примечание. За невыполнение в установленный срок законного решения антимонопольного орг</w:t>
      </w:r>
      <w:r>
        <w:rPr>
          <w:color w:val="000000"/>
        </w:rPr>
        <w:t xml:space="preserve">ана </w:t>
      </w:r>
      <w:hyperlink r:id="rId10" w:history="1">
        <w:r>
          <w:rPr>
            <w:rStyle w:val="a5"/>
            <w:color w:val="000000"/>
          </w:rPr>
          <w:t>статьей 19.5</w:t>
        </w:r>
      </w:hyperlink>
      <w:r>
        <w:rPr>
          <w:color w:val="000000"/>
        </w:rPr>
        <w:t xml:space="preserve"> К</w:t>
      </w:r>
      <w:r>
        <w:t>одекса Российской Федерации об административных правонарушениях установлена административная ответственность.</w:t>
      </w:r>
    </w:p>
    <w:p w:rsidR="00AB7774" w:rsidRPr="005D7025" w:rsidRDefault="00AB7774" w:rsidP="009F3BEB">
      <w:pPr>
        <w:spacing w:after="0" w:line="360" w:lineRule="auto"/>
        <w:rPr>
          <w:szCs w:val="24"/>
        </w:rPr>
      </w:pPr>
    </w:p>
    <w:sectPr w:rsidR="00AB7774" w:rsidRPr="005D7025" w:rsidSect="005D7025">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74" w:rsidRDefault="00F46874" w:rsidP="00882D29">
      <w:pPr>
        <w:spacing w:after="0" w:line="240" w:lineRule="auto"/>
      </w:pPr>
      <w:r>
        <w:separator/>
      </w:r>
    </w:p>
  </w:endnote>
  <w:endnote w:type="continuationSeparator" w:id="0">
    <w:p w:rsidR="00F46874" w:rsidRDefault="00F46874" w:rsidP="00882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8E" w:rsidRDefault="00B96DDF" w:rsidP="00C202B3">
    <w:pPr>
      <w:pStyle w:val="af4"/>
      <w:tabs>
        <w:tab w:val="center" w:pos="4819"/>
        <w:tab w:val="left" w:pos="8595"/>
      </w:tabs>
    </w:pPr>
    <w:sdt>
      <w:sdtPr>
        <w:id w:val="12082699"/>
        <w:docPartObj>
          <w:docPartGallery w:val="Page Numbers (Bottom of Page)"/>
          <w:docPartUnique/>
        </w:docPartObj>
      </w:sdtPr>
      <w:sdtContent>
        <w:r w:rsidR="0067038E">
          <w:tab/>
        </w:r>
        <w:r w:rsidR="0067038E">
          <w:tab/>
        </w:r>
        <w:fldSimple w:instr=" PAGE   \* MERGEFORMAT ">
          <w:r w:rsidR="006A21FA">
            <w:rPr>
              <w:noProof/>
            </w:rPr>
            <w:t>13</w:t>
          </w:r>
        </w:fldSimple>
      </w:sdtContent>
    </w:sdt>
    <w:r w:rsidR="0067038E">
      <w:tab/>
    </w:r>
  </w:p>
  <w:p w:rsidR="0067038E" w:rsidRDefault="0067038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FC" w:rsidRPr="00FA209A" w:rsidRDefault="00C969FC" w:rsidP="00C969FC">
    <w:pPr>
      <w:pStyle w:val="a6"/>
      <w:jc w:val="right"/>
    </w:pPr>
    <w:r>
      <w:rPr>
        <w:i/>
        <w:iCs/>
      </w:rPr>
      <w:t>*Информация, предназначенная для служебного пользования.</w:t>
    </w:r>
  </w:p>
  <w:p w:rsidR="00C969FC" w:rsidRDefault="00C969F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74" w:rsidRDefault="00F46874" w:rsidP="00882D29">
      <w:pPr>
        <w:spacing w:after="0" w:line="240" w:lineRule="auto"/>
      </w:pPr>
      <w:r>
        <w:separator/>
      </w:r>
    </w:p>
  </w:footnote>
  <w:footnote w:type="continuationSeparator" w:id="0">
    <w:p w:rsidR="00F46874" w:rsidRDefault="00F46874" w:rsidP="00882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3D6"/>
    <w:multiLevelType w:val="hybridMultilevel"/>
    <w:tmpl w:val="62F6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A181E"/>
    <w:multiLevelType w:val="multilevel"/>
    <w:tmpl w:val="B8680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A112A"/>
    <w:multiLevelType w:val="hybridMultilevel"/>
    <w:tmpl w:val="705E4A76"/>
    <w:lvl w:ilvl="0" w:tplc="04C66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6E4884"/>
    <w:multiLevelType w:val="hybridMultilevel"/>
    <w:tmpl w:val="8FF88294"/>
    <w:lvl w:ilvl="0" w:tplc="CD42FA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E871D1"/>
    <w:multiLevelType w:val="hybridMultilevel"/>
    <w:tmpl w:val="58A2D782"/>
    <w:lvl w:ilvl="0" w:tplc="39DAE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524FD3"/>
    <w:multiLevelType w:val="hybridMultilevel"/>
    <w:tmpl w:val="9432EE4A"/>
    <w:lvl w:ilvl="0" w:tplc="4D5C5978">
      <w:start w:val="1"/>
      <w:numFmt w:val="decimal"/>
      <w:lvlText w:val="%1)"/>
      <w:lvlJc w:val="left"/>
      <w:pPr>
        <w:ind w:left="347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47CDB"/>
    <w:multiLevelType w:val="hybridMultilevel"/>
    <w:tmpl w:val="9E8842E4"/>
    <w:lvl w:ilvl="0" w:tplc="86061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221732"/>
    <w:multiLevelType w:val="hybridMultilevel"/>
    <w:tmpl w:val="40E2AF4A"/>
    <w:lvl w:ilvl="0" w:tplc="6FBCE6F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C93193"/>
    <w:multiLevelType w:val="hybridMultilevel"/>
    <w:tmpl w:val="C57011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77385"/>
    <w:multiLevelType w:val="hybridMultilevel"/>
    <w:tmpl w:val="B3542ADC"/>
    <w:lvl w:ilvl="0" w:tplc="31E8F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C742E4"/>
    <w:multiLevelType w:val="hybridMultilevel"/>
    <w:tmpl w:val="2B0CC7FE"/>
    <w:lvl w:ilvl="0" w:tplc="B79EA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A3784A"/>
    <w:multiLevelType w:val="multilevel"/>
    <w:tmpl w:val="DD06F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3E590A"/>
    <w:multiLevelType w:val="hybridMultilevel"/>
    <w:tmpl w:val="C3C63E94"/>
    <w:lvl w:ilvl="0" w:tplc="26CE0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29088C"/>
    <w:multiLevelType w:val="hybridMultilevel"/>
    <w:tmpl w:val="62F6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E2324"/>
    <w:multiLevelType w:val="hybridMultilevel"/>
    <w:tmpl w:val="3498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75FAD"/>
    <w:multiLevelType w:val="hybridMultilevel"/>
    <w:tmpl w:val="5C96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3361F"/>
    <w:multiLevelType w:val="hybridMultilevel"/>
    <w:tmpl w:val="6CD2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47216D"/>
    <w:multiLevelType w:val="hybridMultilevel"/>
    <w:tmpl w:val="12965856"/>
    <w:lvl w:ilvl="0" w:tplc="49B61C80">
      <w:start w:val="1"/>
      <w:numFmt w:val="decimal"/>
      <w:lvlText w:val="%1."/>
      <w:lvlJc w:val="left"/>
      <w:pPr>
        <w:ind w:left="1495" w:hanging="360"/>
      </w:pPr>
      <w:rPr>
        <w:rFonts w:hint="default"/>
        <w:b w:val="0"/>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B162ECB"/>
    <w:multiLevelType w:val="hybridMultilevel"/>
    <w:tmpl w:val="87206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9C6972"/>
    <w:multiLevelType w:val="multilevel"/>
    <w:tmpl w:val="1B005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D03DB4"/>
    <w:multiLevelType w:val="hybridMultilevel"/>
    <w:tmpl w:val="34589CEC"/>
    <w:lvl w:ilvl="0" w:tplc="B266A44E">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57486"/>
    <w:multiLevelType w:val="hybridMultilevel"/>
    <w:tmpl w:val="6C789FF0"/>
    <w:lvl w:ilvl="0" w:tplc="64AC9CD4">
      <w:start w:val="1"/>
      <w:numFmt w:val="decimal"/>
      <w:lvlText w:val="%1)"/>
      <w:lvlJc w:val="left"/>
      <w:pPr>
        <w:ind w:left="1684" w:hanging="97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3"/>
  </w:num>
  <w:num w:numId="3">
    <w:abstractNumId w:val="20"/>
  </w:num>
  <w:num w:numId="4">
    <w:abstractNumId w:val="3"/>
  </w:num>
  <w:num w:numId="5">
    <w:abstractNumId w:val="2"/>
  </w:num>
  <w:num w:numId="6">
    <w:abstractNumId w:val="9"/>
  </w:num>
  <w:num w:numId="7">
    <w:abstractNumId w:val="14"/>
  </w:num>
  <w:num w:numId="8">
    <w:abstractNumId w:val="12"/>
  </w:num>
  <w:num w:numId="9">
    <w:abstractNumId w:val="5"/>
  </w:num>
  <w:num w:numId="10">
    <w:abstractNumId w:val="21"/>
  </w:num>
  <w:num w:numId="11">
    <w:abstractNumId w:val="10"/>
  </w:num>
  <w:num w:numId="12">
    <w:abstractNumId w:val="6"/>
  </w:num>
  <w:num w:numId="13">
    <w:abstractNumId w:val="4"/>
  </w:num>
  <w:num w:numId="14">
    <w:abstractNumId w:val="17"/>
  </w:num>
  <w:num w:numId="15">
    <w:abstractNumId w:val="8"/>
  </w:num>
  <w:num w:numId="16">
    <w:abstractNumId w:val="18"/>
  </w:num>
  <w:num w:numId="17">
    <w:abstractNumId w:val="15"/>
  </w:num>
  <w:num w:numId="18">
    <w:abstractNumId w:val="16"/>
  </w:num>
  <w:num w:numId="19">
    <w:abstractNumId w:val="11"/>
  </w:num>
  <w:num w:numId="20">
    <w:abstractNumId w:val="1"/>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66F2"/>
    <w:rsid w:val="00000F6B"/>
    <w:rsid w:val="000035BF"/>
    <w:rsid w:val="000044C5"/>
    <w:rsid w:val="00011F66"/>
    <w:rsid w:val="0001348B"/>
    <w:rsid w:val="00014062"/>
    <w:rsid w:val="00014FB6"/>
    <w:rsid w:val="000151E7"/>
    <w:rsid w:val="00021D70"/>
    <w:rsid w:val="00022244"/>
    <w:rsid w:val="0002371E"/>
    <w:rsid w:val="00024E9C"/>
    <w:rsid w:val="00030E02"/>
    <w:rsid w:val="0003497D"/>
    <w:rsid w:val="0003640E"/>
    <w:rsid w:val="00036CE1"/>
    <w:rsid w:val="00045264"/>
    <w:rsid w:val="000538F1"/>
    <w:rsid w:val="00054302"/>
    <w:rsid w:val="000567CF"/>
    <w:rsid w:val="00056A27"/>
    <w:rsid w:val="000575DF"/>
    <w:rsid w:val="00061B43"/>
    <w:rsid w:val="0006263E"/>
    <w:rsid w:val="0006291E"/>
    <w:rsid w:val="000716A4"/>
    <w:rsid w:val="00071B25"/>
    <w:rsid w:val="00072C97"/>
    <w:rsid w:val="0007342D"/>
    <w:rsid w:val="000744B6"/>
    <w:rsid w:val="00075006"/>
    <w:rsid w:val="0007694B"/>
    <w:rsid w:val="00077945"/>
    <w:rsid w:val="00081C91"/>
    <w:rsid w:val="00083BAF"/>
    <w:rsid w:val="0008468D"/>
    <w:rsid w:val="00085DEE"/>
    <w:rsid w:val="00087B03"/>
    <w:rsid w:val="000935D4"/>
    <w:rsid w:val="000939E3"/>
    <w:rsid w:val="000942CE"/>
    <w:rsid w:val="00094861"/>
    <w:rsid w:val="000A0222"/>
    <w:rsid w:val="000A04E7"/>
    <w:rsid w:val="000A100F"/>
    <w:rsid w:val="000A2232"/>
    <w:rsid w:val="000A3FC7"/>
    <w:rsid w:val="000A602E"/>
    <w:rsid w:val="000B38D2"/>
    <w:rsid w:val="000B4182"/>
    <w:rsid w:val="000B4402"/>
    <w:rsid w:val="000B4E3C"/>
    <w:rsid w:val="000B67A1"/>
    <w:rsid w:val="000C5A9F"/>
    <w:rsid w:val="000C7105"/>
    <w:rsid w:val="000D1AD7"/>
    <w:rsid w:val="000D3B60"/>
    <w:rsid w:val="000D5456"/>
    <w:rsid w:val="000D5F3F"/>
    <w:rsid w:val="000D7089"/>
    <w:rsid w:val="000D71D1"/>
    <w:rsid w:val="000D7AB5"/>
    <w:rsid w:val="000E1ADE"/>
    <w:rsid w:val="000E2B07"/>
    <w:rsid w:val="000F4782"/>
    <w:rsid w:val="00101C2F"/>
    <w:rsid w:val="00105908"/>
    <w:rsid w:val="00110D93"/>
    <w:rsid w:val="0011111B"/>
    <w:rsid w:val="0011156B"/>
    <w:rsid w:val="0011195B"/>
    <w:rsid w:val="0012039E"/>
    <w:rsid w:val="00122096"/>
    <w:rsid w:val="0012357F"/>
    <w:rsid w:val="00124C8F"/>
    <w:rsid w:val="00126962"/>
    <w:rsid w:val="001311B0"/>
    <w:rsid w:val="00132898"/>
    <w:rsid w:val="0013384E"/>
    <w:rsid w:val="00136B6F"/>
    <w:rsid w:val="00136DEE"/>
    <w:rsid w:val="00140D0A"/>
    <w:rsid w:val="00140E68"/>
    <w:rsid w:val="0014287D"/>
    <w:rsid w:val="00143567"/>
    <w:rsid w:val="001456F9"/>
    <w:rsid w:val="00146301"/>
    <w:rsid w:val="001549FA"/>
    <w:rsid w:val="00154E8B"/>
    <w:rsid w:val="00156BE6"/>
    <w:rsid w:val="00161411"/>
    <w:rsid w:val="00163CE6"/>
    <w:rsid w:val="00174E0F"/>
    <w:rsid w:val="0017612F"/>
    <w:rsid w:val="00180678"/>
    <w:rsid w:val="001838BB"/>
    <w:rsid w:val="00183BD3"/>
    <w:rsid w:val="001854B8"/>
    <w:rsid w:val="001857B4"/>
    <w:rsid w:val="0018667D"/>
    <w:rsid w:val="00187724"/>
    <w:rsid w:val="00191888"/>
    <w:rsid w:val="00192037"/>
    <w:rsid w:val="001939E0"/>
    <w:rsid w:val="001941D7"/>
    <w:rsid w:val="00195455"/>
    <w:rsid w:val="001958A9"/>
    <w:rsid w:val="001978A2"/>
    <w:rsid w:val="00197D2C"/>
    <w:rsid w:val="001A06F3"/>
    <w:rsid w:val="001A1933"/>
    <w:rsid w:val="001A3A36"/>
    <w:rsid w:val="001A50A1"/>
    <w:rsid w:val="001A600F"/>
    <w:rsid w:val="001A6A31"/>
    <w:rsid w:val="001B19B7"/>
    <w:rsid w:val="001B24C7"/>
    <w:rsid w:val="001B4351"/>
    <w:rsid w:val="001B473B"/>
    <w:rsid w:val="001C0448"/>
    <w:rsid w:val="001C0DB8"/>
    <w:rsid w:val="001C6AE9"/>
    <w:rsid w:val="001C7B40"/>
    <w:rsid w:val="001D45D6"/>
    <w:rsid w:val="001D4A42"/>
    <w:rsid w:val="001D7847"/>
    <w:rsid w:val="001E00BE"/>
    <w:rsid w:val="001E385E"/>
    <w:rsid w:val="001E4EA6"/>
    <w:rsid w:val="001E5260"/>
    <w:rsid w:val="001E74D9"/>
    <w:rsid w:val="001E7737"/>
    <w:rsid w:val="001F078E"/>
    <w:rsid w:val="001F1160"/>
    <w:rsid w:val="001F2FE5"/>
    <w:rsid w:val="001F472B"/>
    <w:rsid w:val="001F4E3F"/>
    <w:rsid w:val="001F5635"/>
    <w:rsid w:val="001F56B4"/>
    <w:rsid w:val="001F5C13"/>
    <w:rsid w:val="00201E6B"/>
    <w:rsid w:val="002022BF"/>
    <w:rsid w:val="00202FC9"/>
    <w:rsid w:val="0020386C"/>
    <w:rsid w:val="0020568D"/>
    <w:rsid w:val="00213058"/>
    <w:rsid w:val="00213969"/>
    <w:rsid w:val="00214139"/>
    <w:rsid w:val="0022212E"/>
    <w:rsid w:val="00222133"/>
    <w:rsid w:val="0022438D"/>
    <w:rsid w:val="00225456"/>
    <w:rsid w:val="002376E2"/>
    <w:rsid w:val="00240917"/>
    <w:rsid w:val="00241E13"/>
    <w:rsid w:val="00243B44"/>
    <w:rsid w:val="00250F5C"/>
    <w:rsid w:val="002511B8"/>
    <w:rsid w:val="00251238"/>
    <w:rsid w:val="00251594"/>
    <w:rsid w:val="00260FC4"/>
    <w:rsid w:val="00263AA3"/>
    <w:rsid w:val="00263C7B"/>
    <w:rsid w:val="00263C96"/>
    <w:rsid w:val="002713FA"/>
    <w:rsid w:val="00272480"/>
    <w:rsid w:val="00276B26"/>
    <w:rsid w:val="002808BF"/>
    <w:rsid w:val="00286B21"/>
    <w:rsid w:val="00296D07"/>
    <w:rsid w:val="002A49C2"/>
    <w:rsid w:val="002A6DC7"/>
    <w:rsid w:val="002B330E"/>
    <w:rsid w:val="002B442F"/>
    <w:rsid w:val="002B5EDC"/>
    <w:rsid w:val="002B62BF"/>
    <w:rsid w:val="002C3145"/>
    <w:rsid w:val="002C45D5"/>
    <w:rsid w:val="002C6840"/>
    <w:rsid w:val="002C7168"/>
    <w:rsid w:val="002C7860"/>
    <w:rsid w:val="002D107C"/>
    <w:rsid w:val="002D22ED"/>
    <w:rsid w:val="002D28D4"/>
    <w:rsid w:val="002D39A2"/>
    <w:rsid w:val="002D78BE"/>
    <w:rsid w:val="002E48CA"/>
    <w:rsid w:val="002E5537"/>
    <w:rsid w:val="002E5C2D"/>
    <w:rsid w:val="002E5E71"/>
    <w:rsid w:val="002F0253"/>
    <w:rsid w:val="002F219C"/>
    <w:rsid w:val="002F2430"/>
    <w:rsid w:val="002F2842"/>
    <w:rsid w:val="002F3132"/>
    <w:rsid w:val="002F5EEC"/>
    <w:rsid w:val="0030310E"/>
    <w:rsid w:val="00304486"/>
    <w:rsid w:val="00306560"/>
    <w:rsid w:val="00306FF9"/>
    <w:rsid w:val="003072FD"/>
    <w:rsid w:val="00312018"/>
    <w:rsid w:val="00322FB1"/>
    <w:rsid w:val="00326340"/>
    <w:rsid w:val="0032677C"/>
    <w:rsid w:val="00326A8A"/>
    <w:rsid w:val="0032798E"/>
    <w:rsid w:val="00332C74"/>
    <w:rsid w:val="00333150"/>
    <w:rsid w:val="00335CAF"/>
    <w:rsid w:val="0034304D"/>
    <w:rsid w:val="00343774"/>
    <w:rsid w:val="003439ED"/>
    <w:rsid w:val="003459A3"/>
    <w:rsid w:val="00345FF5"/>
    <w:rsid w:val="0034723D"/>
    <w:rsid w:val="003513AE"/>
    <w:rsid w:val="00352FD9"/>
    <w:rsid w:val="003620F9"/>
    <w:rsid w:val="003636E1"/>
    <w:rsid w:val="00366B90"/>
    <w:rsid w:val="003725FB"/>
    <w:rsid w:val="00374A6C"/>
    <w:rsid w:val="00382362"/>
    <w:rsid w:val="00385686"/>
    <w:rsid w:val="0038680B"/>
    <w:rsid w:val="00390244"/>
    <w:rsid w:val="00394A38"/>
    <w:rsid w:val="00396756"/>
    <w:rsid w:val="0039739F"/>
    <w:rsid w:val="003A4181"/>
    <w:rsid w:val="003A6850"/>
    <w:rsid w:val="003B1C9D"/>
    <w:rsid w:val="003B28E0"/>
    <w:rsid w:val="003B31CD"/>
    <w:rsid w:val="003B436E"/>
    <w:rsid w:val="003B6253"/>
    <w:rsid w:val="003B7026"/>
    <w:rsid w:val="003B77E5"/>
    <w:rsid w:val="003C131D"/>
    <w:rsid w:val="003C2C92"/>
    <w:rsid w:val="003C361C"/>
    <w:rsid w:val="003C38BE"/>
    <w:rsid w:val="003C4474"/>
    <w:rsid w:val="003C5E43"/>
    <w:rsid w:val="003D025B"/>
    <w:rsid w:val="003D0860"/>
    <w:rsid w:val="003D1E08"/>
    <w:rsid w:val="003D20E0"/>
    <w:rsid w:val="003D38F4"/>
    <w:rsid w:val="003D594E"/>
    <w:rsid w:val="003D6456"/>
    <w:rsid w:val="003D6E32"/>
    <w:rsid w:val="003E24DB"/>
    <w:rsid w:val="003E3554"/>
    <w:rsid w:val="003F2996"/>
    <w:rsid w:val="003F3499"/>
    <w:rsid w:val="003F451B"/>
    <w:rsid w:val="003F6BF9"/>
    <w:rsid w:val="003F7304"/>
    <w:rsid w:val="004011AE"/>
    <w:rsid w:val="00401A81"/>
    <w:rsid w:val="004038EC"/>
    <w:rsid w:val="00404E8E"/>
    <w:rsid w:val="004056F5"/>
    <w:rsid w:val="00405937"/>
    <w:rsid w:val="00410908"/>
    <w:rsid w:val="004111A7"/>
    <w:rsid w:val="00417336"/>
    <w:rsid w:val="0042229A"/>
    <w:rsid w:val="00424814"/>
    <w:rsid w:val="00426537"/>
    <w:rsid w:val="00434182"/>
    <w:rsid w:val="004422DC"/>
    <w:rsid w:val="00442830"/>
    <w:rsid w:val="00444316"/>
    <w:rsid w:val="00451157"/>
    <w:rsid w:val="00453592"/>
    <w:rsid w:val="00456830"/>
    <w:rsid w:val="00456D1D"/>
    <w:rsid w:val="004613E5"/>
    <w:rsid w:val="00463D77"/>
    <w:rsid w:val="00471AD3"/>
    <w:rsid w:val="004729E0"/>
    <w:rsid w:val="00475384"/>
    <w:rsid w:val="004760BF"/>
    <w:rsid w:val="0048353D"/>
    <w:rsid w:val="00484090"/>
    <w:rsid w:val="00485A7D"/>
    <w:rsid w:val="004867AA"/>
    <w:rsid w:val="00486A98"/>
    <w:rsid w:val="0049018B"/>
    <w:rsid w:val="0049195A"/>
    <w:rsid w:val="00491EB7"/>
    <w:rsid w:val="00492495"/>
    <w:rsid w:val="00493D3E"/>
    <w:rsid w:val="004963E1"/>
    <w:rsid w:val="004A0294"/>
    <w:rsid w:val="004A1576"/>
    <w:rsid w:val="004A37A2"/>
    <w:rsid w:val="004B53E5"/>
    <w:rsid w:val="004C0BEF"/>
    <w:rsid w:val="004C1ED3"/>
    <w:rsid w:val="004C2A11"/>
    <w:rsid w:val="004C38A4"/>
    <w:rsid w:val="004C4566"/>
    <w:rsid w:val="004C52D5"/>
    <w:rsid w:val="004C5D34"/>
    <w:rsid w:val="004C6007"/>
    <w:rsid w:val="004C63CD"/>
    <w:rsid w:val="004D27DB"/>
    <w:rsid w:val="004D4855"/>
    <w:rsid w:val="004D4F2E"/>
    <w:rsid w:val="004D5EE0"/>
    <w:rsid w:val="004D6AA3"/>
    <w:rsid w:val="004E01E5"/>
    <w:rsid w:val="004E38B1"/>
    <w:rsid w:val="004E3BF1"/>
    <w:rsid w:val="004E6B8E"/>
    <w:rsid w:val="004E7429"/>
    <w:rsid w:val="00500239"/>
    <w:rsid w:val="00501084"/>
    <w:rsid w:val="00502A77"/>
    <w:rsid w:val="00502B78"/>
    <w:rsid w:val="00502E4F"/>
    <w:rsid w:val="00504191"/>
    <w:rsid w:val="00505ADE"/>
    <w:rsid w:val="00511206"/>
    <w:rsid w:val="00513FC8"/>
    <w:rsid w:val="00514E91"/>
    <w:rsid w:val="00515167"/>
    <w:rsid w:val="005225B6"/>
    <w:rsid w:val="00525063"/>
    <w:rsid w:val="0052548C"/>
    <w:rsid w:val="005278AA"/>
    <w:rsid w:val="00531592"/>
    <w:rsid w:val="00532D11"/>
    <w:rsid w:val="005332B2"/>
    <w:rsid w:val="0053451A"/>
    <w:rsid w:val="0053606E"/>
    <w:rsid w:val="0054059F"/>
    <w:rsid w:val="00540737"/>
    <w:rsid w:val="005418F0"/>
    <w:rsid w:val="00542469"/>
    <w:rsid w:val="00542B56"/>
    <w:rsid w:val="00544CA5"/>
    <w:rsid w:val="00544E3C"/>
    <w:rsid w:val="00550478"/>
    <w:rsid w:val="005509BC"/>
    <w:rsid w:val="00551856"/>
    <w:rsid w:val="0055269B"/>
    <w:rsid w:val="00554CD7"/>
    <w:rsid w:val="0055589B"/>
    <w:rsid w:val="00561126"/>
    <w:rsid w:val="005645DB"/>
    <w:rsid w:val="005660E2"/>
    <w:rsid w:val="00566F95"/>
    <w:rsid w:val="00571DA1"/>
    <w:rsid w:val="005733C2"/>
    <w:rsid w:val="00576E6F"/>
    <w:rsid w:val="0058131E"/>
    <w:rsid w:val="005831AA"/>
    <w:rsid w:val="00583F85"/>
    <w:rsid w:val="00584049"/>
    <w:rsid w:val="0058682E"/>
    <w:rsid w:val="005923A7"/>
    <w:rsid w:val="005929D0"/>
    <w:rsid w:val="00593D1D"/>
    <w:rsid w:val="0059425F"/>
    <w:rsid w:val="00595344"/>
    <w:rsid w:val="005A2C40"/>
    <w:rsid w:val="005A53A8"/>
    <w:rsid w:val="005B1137"/>
    <w:rsid w:val="005B2735"/>
    <w:rsid w:val="005B4AA7"/>
    <w:rsid w:val="005B61AB"/>
    <w:rsid w:val="005C5340"/>
    <w:rsid w:val="005D3AC1"/>
    <w:rsid w:val="005D7025"/>
    <w:rsid w:val="005D77AC"/>
    <w:rsid w:val="005E5A69"/>
    <w:rsid w:val="005E5F39"/>
    <w:rsid w:val="005E7485"/>
    <w:rsid w:val="005E7557"/>
    <w:rsid w:val="005E7E0D"/>
    <w:rsid w:val="005F3849"/>
    <w:rsid w:val="005F3D87"/>
    <w:rsid w:val="005F3F47"/>
    <w:rsid w:val="005F4CDA"/>
    <w:rsid w:val="00600296"/>
    <w:rsid w:val="00600E88"/>
    <w:rsid w:val="006106C4"/>
    <w:rsid w:val="006128B9"/>
    <w:rsid w:val="00613AAB"/>
    <w:rsid w:val="00616B38"/>
    <w:rsid w:val="00622041"/>
    <w:rsid w:val="00623EED"/>
    <w:rsid w:val="00624432"/>
    <w:rsid w:val="00626BBD"/>
    <w:rsid w:val="00631A43"/>
    <w:rsid w:val="00631E78"/>
    <w:rsid w:val="0063287C"/>
    <w:rsid w:val="0063388A"/>
    <w:rsid w:val="00634636"/>
    <w:rsid w:val="006346F7"/>
    <w:rsid w:val="00634AB4"/>
    <w:rsid w:val="00634E5F"/>
    <w:rsid w:val="00637423"/>
    <w:rsid w:val="00637F5E"/>
    <w:rsid w:val="00640AE1"/>
    <w:rsid w:val="0064546E"/>
    <w:rsid w:val="0065104C"/>
    <w:rsid w:val="00661E8C"/>
    <w:rsid w:val="00664BBD"/>
    <w:rsid w:val="0067038E"/>
    <w:rsid w:val="0068225F"/>
    <w:rsid w:val="00683711"/>
    <w:rsid w:val="006913E1"/>
    <w:rsid w:val="00695E3F"/>
    <w:rsid w:val="006A21FA"/>
    <w:rsid w:val="006A2690"/>
    <w:rsid w:val="006A2E98"/>
    <w:rsid w:val="006A3176"/>
    <w:rsid w:val="006A3805"/>
    <w:rsid w:val="006A7153"/>
    <w:rsid w:val="006B061E"/>
    <w:rsid w:val="006B1856"/>
    <w:rsid w:val="006B1A23"/>
    <w:rsid w:val="006B3305"/>
    <w:rsid w:val="006B3528"/>
    <w:rsid w:val="006B38F9"/>
    <w:rsid w:val="006B3A0B"/>
    <w:rsid w:val="006B3E90"/>
    <w:rsid w:val="006C50CF"/>
    <w:rsid w:val="006C6B3E"/>
    <w:rsid w:val="006C7A47"/>
    <w:rsid w:val="006C7DC4"/>
    <w:rsid w:val="006D4AC0"/>
    <w:rsid w:val="006D5430"/>
    <w:rsid w:val="006D7260"/>
    <w:rsid w:val="006E11A6"/>
    <w:rsid w:val="006E1B1E"/>
    <w:rsid w:val="006E4815"/>
    <w:rsid w:val="006E7CC6"/>
    <w:rsid w:val="006F005B"/>
    <w:rsid w:val="006F1AA0"/>
    <w:rsid w:val="006F2119"/>
    <w:rsid w:val="006F4685"/>
    <w:rsid w:val="006F669D"/>
    <w:rsid w:val="00702505"/>
    <w:rsid w:val="00702B26"/>
    <w:rsid w:val="00705C31"/>
    <w:rsid w:val="0070659B"/>
    <w:rsid w:val="007074D4"/>
    <w:rsid w:val="007075F1"/>
    <w:rsid w:val="00711786"/>
    <w:rsid w:val="00712478"/>
    <w:rsid w:val="00712F3F"/>
    <w:rsid w:val="007150C4"/>
    <w:rsid w:val="00716241"/>
    <w:rsid w:val="00717868"/>
    <w:rsid w:val="00717F21"/>
    <w:rsid w:val="00725594"/>
    <w:rsid w:val="0073267B"/>
    <w:rsid w:val="007328F2"/>
    <w:rsid w:val="00735F5D"/>
    <w:rsid w:val="00737039"/>
    <w:rsid w:val="00742645"/>
    <w:rsid w:val="00752E71"/>
    <w:rsid w:val="00756CA6"/>
    <w:rsid w:val="00760C02"/>
    <w:rsid w:val="00762249"/>
    <w:rsid w:val="00765288"/>
    <w:rsid w:val="007675DB"/>
    <w:rsid w:val="0077000A"/>
    <w:rsid w:val="007711E2"/>
    <w:rsid w:val="007718B8"/>
    <w:rsid w:val="007743AC"/>
    <w:rsid w:val="00784AEB"/>
    <w:rsid w:val="007878B6"/>
    <w:rsid w:val="0079161F"/>
    <w:rsid w:val="007A5AA2"/>
    <w:rsid w:val="007B2CD3"/>
    <w:rsid w:val="007B5F04"/>
    <w:rsid w:val="007B755F"/>
    <w:rsid w:val="007C0672"/>
    <w:rsid w:val="007C1E2C"/>
    <w:rsid w:val="007C2C0C"/>
    <w:rsid w:val="007C4250"/>
    <w:rsid w:val="007C4C3C"/>
    <w:rsid w:val="007C7937"/>
    <w:rsid w:val="007D22F8"/>
    <w:rsid w:val="007D2A85"/>
    <w:rsid w:val="007D6729"/>
    <w:rsid w:val="007D7F7E"/>
    <w:rsid w:val="007E306B"/>
    <w:rsid w:val="007E324C"/>
    <w:rsid w:val="007E691A"/>
    <w:rsid w:val="007E6A5C"/>
    <w:rsid w:val="007E78DB"/>
    <w:rsid w:val="007E79DD"/>
    <w:rsid w:val="007E7A1E"/>
    <w:rsid w:val="007E7CB7"/>
    <w:rsid w:val="007F1509"/>
    <w:rsid w:val="007F680D"/>
    <w:rsid w:val="007F6EAB"/>
    <w:rsid w:val="007F707B"/>
    <w:rsid w:val="007F7D79"/>
    <w:rsid w:val="008013F0"/>
    <w:rsid w:val="00803AE9"/>
    <w:rsid w:val="00805EF3"/>
    <w:rsid w:val="008067A2"/>
    <w:rsid w:val="00810114"/>
    <w:rsid w:val="00810FFF"/>
    <w:rsid w:val="008118C3"/>
    <w:rsid w:val="0081459E"/>
    <w:rsid w:val="008151DB"/>
    <w:rsid w:val="00815802"/>
    <w:rsid w:val="00815F99"/>
    <w:rsid w:val="008162CE"/>
    <w:rsid w:val="00816F18"/>
    <w:rsid w:val="00817778"/>
    <w:rsid w:val="008177EF"/>
    <w:rsid w:val="00822672"/>
    <w:rsid w:val="0082709C"/>
    <w:rsid w:val="00831476"/>
    <w:rsid w:val="00831524"/>
    <w:rsid w:val="00837894"/>
    <w:rsid w:val="00840FA8"/>
    <w:rsid w:val="0084348F"/>
    <w:rsid w:val="008449F4"/>
    <w:rsid w:val="00844FC9"/>
    <w:rsid w:val="00846807"/>
    <w:rsid w:val="00846A90"/>
    <w:rsid w:val="0084792D"/>
    <w:rsid w:val="00852E57"/>
    <w:rsid w:val="00853CB5"/>
    <w:rsid w:val="008559EB"/>
    <w:rsid w:val="00856E2B"/>
    <w:rsid w:val="00861177"/>
    <w:rsid w:val="008614A5"/>
    <w:rsid w:val="0086263A"/>
    <w:rsid w:val="0086273F"/>
    <w:rsid w:val="0086291C"/>
    <w:rsid w:val="00862E2B"/>
    <w:rsid w:val="00863939"/>
    <w:rsid w:val="0086435A"/>
    <w:rsid w:val="0086506B"/>
    <w:rsid w:val="00870264"/>
    <w:rsid w:val="008715FC"/>
    <w:rsid w:val="00871D00"/>
    <w:rsid w:val="00874D34"/>
    <w:rsid w:val="00876092"/>
    <w:rsid w:val="00880339"/>
    <w:rsid w:val="00882D29"/>
    <w:rsid w:val="00883B61"/>
    <w:rsid w:val="00883D9F"/>
    <w:rsid w:val="00884BC0"/>
    <w:rsid w:val="00891B22"/>
    <w:rsid w:val="00891D32"/>
    <w:rsid w:val="00892372"/>
    <w:rsid w:val="008938B6"/>
    <w:rsid w:val="0089574A"/>
    <w:rsid w:val="00896129"/>
    <w:rsid w:val="008973F2"/>
    <w:rsid w:val="008A281A"/>
    <w:rsid w:val="008A34DD"/>
    <w:rsid w:val="008A7481"/>
    <w:rsid w:val="008A7DDC"/>
    <w:rsid w:val="008B3ECB"/>
    <w:rsid w:val="008B627B"/>
    <w:rsid w:val="008B7637"/>
    <w:rsid w:val="008B7F28"/>
    <w:rsid w:val="008C0A2D"/>
    <w:rsid w:val="008C5457"/>
    <w:rsid w:val="008D0B42"/>
    <w:rsid w:val="008D0C0E"/>
    <w:rsid w:val="008D0FB2"/>
    <w:rsid w:val="008D1B44"/>
    <w:rsid w:val="008D617F"/>
    <w:rsid w:val="008D71EE"/>
    <w:rsid w:val="008D7541"/>
    <w:rsid w:val="008D78D6"/>
    <w:rsid w:val="008E05BD"/>
    <w:rsid w:val="008E23DC"/>
    <w:rsid w:val="008E35F8"/>
    <w:rsid w:val="008E3FE9"/>
    <w:rsid w:val="008F0205"/>
    <w:rsid w:val="008F0A6A"/>
    <w:rsid w:val="008F136C"/>
    <w:rsid w:val="008F6514"/>
    <w:rsid w:val="00903AA0"/>
    <w:rsid w:val="0090593A"/>
    <w:rsid w:val="00905E0D"/>
    <w:rsid w:val="00905FC9"/>
    <w:rsid w:val="00910B5E"/>
    <w:rsid w:val="0091222D"/>
    <w:rsid w:val="00914F2E"/>
    <w:rsid w:val="00916EC1"/>
    <w:rsid w:val="00920839"/>
    <w:rsid w:val="00925DFF"/>
    <w:rsid w:val="00926F50"/>
    <w:rsid w:val="00930549"/>
    <w:rsid w:val="00931042"/>
    <w:rsid w:val="00931CA2"/>
    <w:rsid w:val="00937219"/>
    <w:rsid w:val="009407FA"/>
    <w:rsid w:val="0094695A"/>
    <w:rsid w:val="00946B65"/>
    <w:rsid w:val="00946D90"/>
    <w:rsid w:val="00947F3A"/>
    <w:rsid w:val="00955DF5"/>
    <w:rsid w:val="00957E06"/>
    <w:rsid w:val="00960FA1"/>
    <w:rsid w:val="00963C1B"/>
    <w:rsid w:val="00963F4E"/>
    <w:rsid w:val="00964C1E"/>
    <w:rsid w:val="00967B61"/>
    <w:rsid w:val="00967FCE"/>
    <w:rsid w:val="009702F9"/>
    <w:rsid w:val="00970BAD"/>
    <w:rsid w:val="00980644"/>
    <w:rsid w:val="009813D2"/>
    <w:rsid w:val="00981DE6"/>
    <w:rsid w:val="009849E5"/>
    <w:rsid w:val="00996E6A"/>
    <w:rsid w:val="00997C70"/>
    <w:rsid w:val="009A2BA4"/>
    <w:rsid w:val="009A5589"/>
    <w:rsid w:val="009B2586"/>
    <w:rsid w:val="009B6259"/>
    <w:rsid w:val="009C14F0"/>
    <w:rsid w:val="009C40BA"/>
    <w:rsid w:val="009C4FCA"/>
    <w:rsid w:val="009C55F7"/>
    <w:rsid w:val="009D4183"/>
    <w:rsid w:val="009D5033"/>
    <w:rsid w:val="009D7BDD"/>
    <w:rsid w:val="009E1205"/>
    <w:rsid w:val="009E63FC"/>
    <w:rsid w:val="009E65AF"/>
    <w:rsid w:val="009F0034"/>
    <w:rsid w:val="009F010C"/>
    <w:rsid w:val="009F159D"/>
    <w:rsid w:val="009F2F6F"/>
    <w:rsid w:val="009F2F76"/>
    <w:rsid w:val="009F3BEB"/>
    <w:rsid w:val="00A03783"/>
    <w:rsid w:val="00A06822"/>
    <w:rsid w:val="00A1250C"/>
    <w:rsid w:val="00A14EC3"/>
    <w:rsid w:val="00A15442"/>
    <w:rsid w:val="00A15849"/>
    <w:rsid w:val="00A17205"/>
    <w:rsid w:val="00A216EE"/>
    <w:rsid w:val="00A220BE"/>
    <w:rsid w:val="00A23600"/>
    <w:rsid w:val="00A32F25"/>
    <w:rsid w:val="00A366A7"/>
    <w:rsid w:val="00A40929"/>
    <w:rsid w:val="00A42416"/>
    <w:rsid w:val="00A43C2C"/>
    <w:rsid w:val="00A44620"/>
    <w:rsid w:val="00A47020"/>
    <w:rsid w:val="00A52B2D"/>
    <w:rsid w:val="00A61207"/>
    <w:rsid w:val="00A63625"/>
    <w:rsid w:val="00A6462D"/>
    <w:rsid w:val="00A666F2"/>
    <w:rsid w:val="00A66908"/>
    <w:rsid w:val="00A6735B"/>
    <w:rsid w:val="00A70E64"/>
    <w:rsid w:val="00A717D0"/>
    <w:rsid w:val="00A71B11"/>
    <w:rsid w:val="00A7364E"/>
    <w:rsid w:val="00A74AEF"/>
    <w:rsid w:val="00A77E5B"/>
    <w:rsid w:val="00A801BE"/>
    <w:rsid w:val="00A87C37"/>
    <w:rsid w:val="00A939D6"/>
    <w:rsid w:val="00A94023"/>
    <w:rsid w:val="00A96080"/>
    <w:rsid w:val="00A968F6"/>
    <w:rsid w:val="00A97C77"/>
    <w:rsid w:val="00AA29F9"/>
    <w:rsid w:val="00AA4C2C"/>
    <w:rsid w:val="00AA529F"/>
    <w:rsid w:val="00AB38EA"/>
    <w:rsid w:val="00AB4842"/>
    <w:rsid w:val="00AB7774"/>
    <w:rsid w:val="00AC04B6"/>
    <w:rsid w:val="00AC14F3"/>
    <w:rsid w:val="00AC285A"/>
    <w:rsid w:val="00AC5D6A"/>
    <w:rsid w:val="00AD0880"/>
    <w:rsid w:val="00AD0D66"/>
    <w:rsid w:val="00AD0EC9"/>
    <w:rsid w:val="00AD18A9"/>
    <w:rsid w:val="00AD4F2E"/>
    <w:rsid w:val="00AE19D7"/>
    <w:rsid w:val="00AE2008"/>
    <w:rsid w:val="00AE27B6"/>
    <w:rsid w:val="00AE2C5D"/>
    <w:rsid w:val="00AE4897"/>
    <w:rsid w:val="00AE4C32"/>
    <w:rsid w:val="00AE69F1"/>
    <w:rsid w:val="00AF37A8"/>
    <w:rsid w:val="00AF4265"/>
    <w:rsid w:val="00AF484C"/>
    <w:rsid w:val="00AF5157"/>
    <w:rsid w:val="00AF6585"/>
    <w:rsid w:val="00AF70C7"/>
    <w:rsid w:val="00AF79D1"/>
    <w:rsid w:val="00B00841"/>
    <w:rsid w:val="00B03E22"/>
    <w:rsid w:val="00B04154"/>
    <w:rsid w:val="00B04656"/>
    <w:rsid w:val="00B0748D"/>
    <w:rsid w:val="00B10715"/>
    <w:rsid w:val="00B118E9"/>
    <w:rsid w:val="00B13515"/>
    <w:rsid w:val="00B1638E"/>
    <w:rsid w:val="00B173BD"/>
    <w:rsid w:val="00B234E0"/>
    <w:rsid w:val="00B279ED"/>
    <w:rsid w:val="00B27F56"/>
    <w:rsid w:val="00B30C59"/>
    <w:rsid w:val="00B3115B"/>
    <w:rsid w:val="00B336A2"/>
    <w:rsid w:val="00B34556"/>
    <w:rsid w:val="00B35309"/>
    <w:rsid w:val="00B36EA4"/>
    <w:rsid w:val="00B37510"/>
    <w:rsid w:val="00B40139"/>
    <w:rsid w:val="00B40AB3"/>
    <w:rsid w:val="00B42E7E"/>
    <w:rsid w:val="00B43AF4"/>
    <w:rsid w:val="00B43B1D"/>
    <w:rsid w:val="00B444BC"/>
    <w:rsid w:val="00B471F0"/>
    <w:rsid w:val="00B52FF8"/>
    <w:rsid w:val="00B60F9F"/>
    <w:rsid w:val="00B6303F"/>
    <w:rsid w:val="00B65AF4"/>
    <w:rsid w:val="00B674D5"/>
    <w:rsid w:val="00B676A5"/>
    <w:rsid w:val="00B67FF2"/>
    <w:rsid w:val="00B70500"/>
    <w:rsid w:val="00B72472"/>
    <w:rsid w:val="00B7324C"/>
    <w:rsid w:val="00B74348"/>
    <w:rsid w:val="00B75433"/>
    <w:rsid w:val="00B766B4"/>
    <w:rsid w:val="00B774A6"/>
    <w:rsid w:val="00B77CAB"/>
    <w:rsid w:val="00B80411"/>
    <w:rsid w:val="00B829FC"/>
    <w:rsid w:val="00B905AA"/>
    <w:rsid w:val="00B91043"/>
    <w:rsid w:val="00B92674"/>
    <w:rsid w:val="00B94F97"/>
    <w:rsid w:val="00B95632"/>
    <w:rsid w:val="00B95A5D"/>
    <w:rsid w:val="00B96DDF"/>
    <w:rsid w:val="00BA2C6C"/>
    <w:rsid w:val="00BA2CBF"/>
    <w:rsid w:val="00BA311B"/>
    <w:rsid w:val="00BA38D4"/>
    <w:rsid w:val="00BA53F6"/>
    <w:rsid w:val="00BA72CE"/>
    <w:rsid w:val="00BB383B"/>
    <w:rsid w:val="00BB4E19"/>
    <w:rsid w:val="00BB5447"/>
    <w:rsid w:val="00BC1FC7"/>
    <w:rsid w:val="00BC2ED8"/>
    <w:rsid w:val="00BC4326"/>
    <w:rsid w:val="00BC784C"/>
    <w:rsid w:val="00BD0A6E"/>
    <w:rsid w:val="00BD0ADB"/>
    <w:rsid w:val="00BD1DF9"/>
    <w:rsid w:val="00BE4ACA"/>
    <w:rsid w:val="00BE6613"/>
    <w:rsid w:val="00BF2735"/>
    <w:rsid w:val="00BF3FA1"/>
    <w:rsid w:val="00BF548F"/>
    <w:rsid w:val="00BF55B1"/>
    <w:rsid w:val="00BF6815"/>
    <w:rsid w:val="00C02DF9"/>
    <w:rsid w:val="00C0433B"/>
    <w:rsid w:val="00C10BE9"/>
    <w:rsid w:val="00C10DB0"/>
    <w:rsid w:val="00C12184"/>
    <w:rsid w:val="00C12A10"/>
    <w:rsid w:val="00C13575"/>
    <w:rsid w:val="00C14CC5"/>
    <w:rsid w:val="00C16932"/>
    <w:rsid w:val="00C202B3"/>
    <w:rsid w:val="00C214EC"/>
    <w:rsid w:val="00C26A3D"/>
    <w:rsid w:val="00C27198"/>
    <w:rsid w:val="00C30FE5"/>
    <w:rsid w:val="00C37375"/>
    <w:rsid w:val="00C4058C"/>
    <w:rsid w:val="00C4060D"/>
    <w:rsid w:val="00C42399"/>
    <w:rsid w:val="00C42E70"/>
    <w:rsid w:val="00C442DD"/>
    <w:rsid w:val="00C44519"/>
    <w:rsid w:val="00C510A5"/>
    <w:rsid w:val="00C53840"/>
    <w:rsid w:val="00C54DE0"/>
    <w:rsid w:val="00C57C7E"/>
    <w:rsid w:val="00C613C7"/>
    <w:rsid w:val="00C621CF"/>
    <w:rsid w:val="00C73441"/>
    <w:rsid w:val="00C74C3F"/>
    <w:rsid w:val="00C763D2"/>
    <w:rsid w:val="00C7714F"/>
    <w:rsid w:val="00C824F7"/>
    <w:rsid w:val="00C844BC"/>
    <w:rsid w:val="00C84F18"/>
    <w:rsid w:val="00C90597"/>
    <w:rsid w:val="00C90F2D"/>
    <w:rsid w:val="00C94983"/>
    <w:rsid w:val="00C9697A"/>
    <w:rsid w:val="00C969FC"/>
    <w:rsid w:val="00CB101A"/>
    <w:rsid w:val="00CB3BB1"/>
    <w:rsid w:val="00CB59C1"/>
    <w:rsid w:val="00CB6968"/>
    <w:rsid w:val="00CC0F38"/>
    <w:rsid w:val="00CC116D"/>
    <w:rsid w:val="00CC31DC"/>
    <w:rsid w:val="00CD0268"/>
    <w:rsid w:val="00CD0AD0"/>
    <w:rsid w:val="00CD0C9A"/>
    <w:rsid w:val="00CD2499"/>
    <w:rsid w:val="00CD44D4"/>
    <w:rsid w:val="00CD5F2C"/>
    <w:rsid w:val="00CD6DB6"/>
    <w:rsid w:val="00CE04A3"/>
    <w:rsid w:val="00CE0537"/>
    <w:rsid w:val="00CE4336"/>
    <w:rsid w:val="00CF04D6"/>
    <w:rsid w:val="00CF1157"/>
    <w:rsid w:val="00CF1CBE"/>
    <w:rsid w:val="00CF2D36"/>
    <w:rsid w:val="00CF7351"/>
    <w:rsid w:val="00CF775C"/>
    <w:rsid w:val="00D01057"/>
    <w:rsid w:val="00D0160D"/>
    <w:rsid w:val="00D016AF"/>
    <w:rsid w:val="00D10601"/>
    <w:rsid w:val="00D12650"/>
    <w:rsid w:val="00D17338"/>
    <w:rsid w:val="00D201D4"/>
    <w:rsid w:val="00D20E3E"/>
    <w:rsid w:val="00D24C15"/>
    <w:rsid w:val="00D27366"/>
    <w:rsid w:val="00D27AC2"/>
    <w:rsid w:val="00D32DCF"/>
    <w:rsid w:val="00D351A3"/>
    <w:rsid w:val="00D35B4A"/>
    <w:rsid w:val="00D41E58"/>
    <w:rsid w:val="00D43161"/>
    <w:rsid w:val="00D440DD"/>
    <w:rsid w:val="00D4772B"/>
    <w:rsid w:val="00D51F07"/>
    <w:rsid w:val="00D53314"/>
    <w:rsid w:val="00D54693"/>
    <w:rsid w:val="00D55794"/>
    <w:rsid w:val="00D55BD7"/>
    <w:rsid w:val="00D56628"/>
    <w:rsid w:val="00D5664D"/>
    <w:rsid w:val="00D5759C"/>
    <w:rsid w:val="00D62432"/>
    <w:rsid w:val="00D632F7"/>
    <w:rsid w:val="00D63BA2"/>
    <w:rsid w:val="00D66764"/>
    <w:rsid w:val="00D67E9C"/>
    <w:rsid w:val="00D72918"/>
    <w:rsid w:val="00D74A01"/>
    <w:rsid w:val="00D74BF7"/>
    <w:rsid w:val="00D81BE1"/>
    <w:rsid w:val="00D81D74"/>
    <w:rsid w:val="00D84023"/>
    <w:rsid w:val="00D86C47"/>
    <w:rsid w:val="00D87C40"/>
    <w:rsid w:val="00D91543"/>
    <w:rsid w:val="00DA172B"/>
    <w:rsid w:val="00DA316F"/>
    <w:rsid w:val="00DB0A64"/>
    <w:rsid w:val="00DB2DD4"/>
    <w:rsid w:val="00DB3807"/>
    <w:rsid w:val="00DB3860"/>
    <w:rsid w:val="00DB5C2A"/>
    <w:rsid w:val="00DB71B8"/>
    <w:rsid w:val="00DB7DEE"/>
    <w:rsid w:val="00DC05EA"/>
    <w:rsid w:val="00DC1D4E"/>
    <w:rsid w:val="00DC3170"/>
    <w:rsid w:val="00DC32FA"/>
    <w:rsid w:val="00DC42A8"/>
    <w:rsid w:val="00DC50DB"/>
    <w:rsid w:val="00DC554D"/>
    <w:rsid w:val="00DC6DC4"/>
    <w:rsid w:val="00DC752C"/>
    <w:rsid w:val="00DD01CB"/>
    <w:rsid w:val="00DD323B"/>
    <w:rsid w:val="00DD413F"/>
    <w:rsid w:val="00DD58DB"/>
    <w:rsid w:val="00DE0CF4"/>
    <w:rsid w:val="00DE1569"/>
    <w:rsid w:val="00DE45C3"/>
    <w:rsid w:val="00DE64DC"/>
    <w:rsid w:val="00DE7E74"/>
    <w:rsid w:val="00DF06F7"/>
    <w:rsid w:val="00DF0C08"/>
    <w:rsid w:val="00DF19D1"/>
    <w:rsid w:val="00DF22A1"/>
    <w:rsid w:val="00DF3715"/>
    <w:rsid w:val="00DF476B"/>
    <w:rsid w:val="00DF526F"/>
    <w:rsid w:val="00DF5E87"/>
    <w:rsid w:val="00DF6BF9"/>
    <w:rsid w:val="00DF6E12"/>
    <w:rsid w:val="00E0273A"/>
    <w:rsid w:val="00E0311A"/>
    <w:rsid w:val="00E05443"/>
    <w:rsid w:val="00E07405"/>
    <w:rsid w:val="00E100CD"/>
    <w:rsid w:val="00E158C9"/>
    <w:rsid w:val="00E17AA9"/>
    <w:rsid w:val="00E22618"/>
    <w:rsid w:val="00E22B42"/>
    <w:rsid w:val="00E336D7"/>
    <w:rsid w:val="00E35C4F"/>
    <w:rsid w:val="00E41C21"/>
    <w:rsid w:val="00E4472A"/>
    <w:rsid w:val="00E44D2C"/>
    <w:rsid w:val="00E507C9"/>
    <w:rsid w:val="00E56D8B"/>
    <w:rsid w:val="00E609E4"/>
    <w:rsid w:val="00E61A9F"/>
    <w:rsid w:val="00E641D3"/>
    <w:rsid w:val="00E66D33"/>
    <w:rsid w:val="00E67A0C"/>
    <w:rsid w:val="00E67FDF"/>
    <w:rsid w:val="00E73148"/>
    <w:rsid w:val="00E745DE"/>
    <w:rsid w:val="00E74AFA"/>
    <w:rsid w:val="00E74D59"/>
    <w:rsid w:val="00E77D72"/>
    <w:rsid w:val="00E80CDF"/>
    <w:rsid w:val="00E81DE2"/>
    <w:rsid w:val="00E82D86"/>
    <w:rsid w:val="00E84454"/>
    <w:rsid w:val="00E8447B"/>
    <w:rsid w:val="00E8598F"/>
    <w:rsid w:val="00E85FAF"/>
    <w:rsid w:val="00E879AF"/>
    <w:rsid w:val="00E902B6"/>
    <w:rsid w:val="00E9188C"/>
    <w:rsid w:val="00E91AE8"/>
    <w:rsid w:val="00E92E0D"/>
    <w:rsid w:val="00E936B5"/>
    <w:rsid w:val="00E93C33"/>
    <w:rsid w:val="00E94089"/>
    <w:rsid w:val="00E943AC"/>
    <w:rsid w:val="00E94595"/>
    <w:rsid w:val="00E94F22"/>
    <w:rsid w:val="00EA0457"/>
    <w:rsid w:val="00EA1891"/>
    <w:rsid w:val="00EA1C09"/>
    <w:rsid w:val="00EA5C20"/>
    <w:rsid w:val="00EA7F34"/>
    <w:rsid w:val="00EB09BD"/>
    <w:rsid w:val="00EB23DD"/>
    <w:rsid w:val="00EB2F1D"/>
    <w:rsid w:val="00EB4A52"/>
    <w:rsid w:val="00EC1B6B"/>
    <w:rsid w:val="00EC2CA4"/>
    <w:rsid w:val="00ED0181"/>
    <w:rsid w:val="00ED66F0"/>
    <w:rsid w:val="00ED6AE9"/>
    <w:rsid w:val="00EE1830"/>
    <w:rsid w:val="00EE21F1"/>
    <w:rsid w:val="00EF0E68"/>
    <w:rsid w:val="00EF26FF"/>
    <w:rsid w:val="00EF3E5E"/>
    <w:rsid w:val="00EF6FAB"/>
    <w:rsid w:val="00EF79AE"/>
    <w:rsid w:val="00F0271D"/>
    <w:rsid w:val="00F06C00"/>
    <w:rsid w:val="00F10753"/>
    <w:rsid w:val="00F142BF"/>
    <w:rsid w:val="00F16A49"/>
    <w:rsid w:val="00F17A4A"/>
    <w:rsid w:val="00F21F60"/>
    <w:rsid w:val="00F22B30"/>
    <w:rsid w:val="00F235C2"/>
    <w:rsid w:val="00F23FF0"/>
    <w:rsid w:val="00F24814"/>
    <w:rsid w:val="00F24FD9"/>
    <w:rsid w:val="00F25E0A"/>
    <w:rsid w:val="00F26BB9"/>
    <w:rsid w:val="00F27AC7"/>
    <w:rsid w:val="00F32A11"/>
    <w:rsid w:val="00F330D3"/>
    <w:rsid w:val="00F35EE2"/>
    <w:rsid w:val="00F36ADC"/>
    <w:rsid w:val="00F36B37"/>
    <w:rsid w:val="00F37739"/>
    <w:rsid w:val="00F37DD8"/>
    <w:rsid w:val="00F41E79"/>
    <w:rsid w:val="00F423E7"/>
    <w:rsid w:val="00F4447E"/>
    <w:rsid w:val="00F45C78"/>
    <w:rsid w:val="00F46033"/>
    <w:rsid w:val="00F46874"/>
    <w:rsid w:val="00F51717"/>
    <w:rsid w:val="00F5291C"/>
    <w:rsid w:val="00F52AB2"/>
    <w:rsid w:val="00F5674C"/>
    <w:rsid w:val="00F6129B"/>
    <w:rsid w:val="00F61947"/>
    <w:rsid w:val="00F61F91"/>
    <w:rsid w:val="00F63EFD"/>
    <w:rsid w:val="00F64FED"/>
    <w:rsid w:val="00F670A8"/>
    <w:rsid w:val="00F721A4"/>
    <w:rsid w:val="00F7233D"/>
    <w:rsid w:val="00F733D4"/>
    <w:rsid w:val="00F82734"/>
    <w:rsid w:val="00F84348"/>
    <w:rsid w:val="00F91A4F"/>
    <w:rsid w:val="00F926C1"/>
    <w:rsid w:val="00F92AC7"/>
    <w:rsid w:val="00F97405"/>
    <w:rsid w:val="00FA13FF"/>
    <w:rsid w:val="00FA209A"/>
    <w:rsid w:val="00FA3D58"/>
    <w:rsid w:val="00FA6190"/>
    <w:rsid w:val="00FA7FA6"/>
    <w:rsid w:val="00FB03FF"/>
    <w:rsid w:val="00FB5E35"/>
    <w:rsid w:val="00FB6452"/>
    <w:rsid w:val="00FC1E43"/>
    <w:rsid w:val="00FC2114"/>
    <w:rsid w:val="00FC3618"/>
    <w:rsid w:val="00FC60A7"/>
    <w:rsid w:val="00FC7E94"/>
    <w:rsid w:val="00FD3816"/>
    <w:rsid w:val="00FD45FB"/>
    <w:rsid w:val="00FD5234"/>
    <w:rsid w:val="00FD5304"/>
    <w:rsid w:val="00FE1622"/>
    <w:rsid w:val="00FE289E"/>
    <w:rsid w:val="00FE35F1"/>
    <w:rsid w:val="00FE4BD4"/>
    <w:rsid w:val="00FE5C56"/>
    <w:rsid w:val="00FE72E5"/>
    <w:rsid w:val="00FE7F5A"/>
    <w:rsid w:val="00FF038E"/>
    <w:rsid w:val="00FF0416"/>
    <w:rsid w:val="00FF0808"/>
    <w:rsid w:val="00FF3F08"/>
    <w:rsid w:val="00FF4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6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6F2"/>
    <w:rPr>
      <w:b/>
      <w:bCs/>
    </w:rPr>
  </w:style>
  <w:style w:type="character" w:styleId="a5">
    <w:name w:val="Hyperlink"/>
    <w:basedOn w:val="a0"/>
    <w:uiPriority w:val="99"/>
    <w:unhideWhenUsed/>
    <w:rsid w:val="00A666F2"/>
    <w:rPr>
      <w:color w:val="0000FF" w:themeColor="hyperlink"/>
      <w:u w:val="single"/>
    </w:rPr>
  </w:style>
  <w:style w:type="paragraph" w:styleId="a6">
    <w:name w:val="Normal (Web)"/>
    <w:basedOn w:val="a"/>
    <w:uiPriority w:val="99"/>
    <w:unhideWhenUsed/>
    <w:rsid w:val="0059425F"/>
    <w:pPr>
      <w:spacing w:before="100" w:beforeAutospacing="1" w:after="119"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05E0D"/>
    <w:rPr>
      <w:sz w:val="16"/>
      <w:szCs w:val="16"/>
    </w:rPr>
  </w:style>
  <w:style w:type="paragraph" w:styleId="a8">
    <w:name w:val="annotation text"/>
    <w:basedOn w:val="a"/>
    <w:link w:val="a9"/>
    <w:uiPriority w:val="99"/>
    <w:semiHidden/>
    <w:unhideWhenUsed/>
    <w:rsid w:val="00905E0D"/>
    <w:pPr>
      <w:spacing w:line="240" w:lineRule="auto"/>
    </w:pPr>
    <w:rPr>
      <w:sz w:val="20"/>
      <w:szCs w:val="20"/>
    </w:rPr>
  </w:style>
  <w:style w:type="character" w:customStyle="1" w:styleId="a9">
    <w:name w:val="Текст примечания Знак"/>
    <w:basedOn w:val="a0"/>
    <w:link w:val="a8"/>
    <w:uiPriority w:val="99"/>
    <w:semiHidden/>
    <w:rsid w:val="00905E0D"/>
    <w:rPr>
      <w:sz w:val="20"/>
      <w:szCs w:val="20"/>
    </w:rPr>
  </w:style>
  <w:style w:type="paragraph" w:styleId="aa">
    <w:name w:val="annotation subject"/>
    <w:basedOn w:val="a8"/>
    <w:next w:val="a8"/>
    <w:link w:val="ab"/>
    <w:uiPriority w:val="99"/>
    <w:semiHidden/>
    <w:unhideWhenUsed/>
    <w:rsid w:val="00905E0D"/>
    <w:rPr>
      <w:b/>
      <w:bCs/>
    </w:rPr>
  </w:style>
  <w:style w:type="character" w:customStyle="1" w:styleId="ab">
    <w:name w:val="Тема примечания Знак"/>
    <w:basedOn w:val="a9"/>
    <w:link w:val="aa"/>
    <w:uiPriority w:val="99"/>
    <w:semiHidden/>
    <w:rsid w:val="00905E0D"/>
    <w:rPr>
      <w:b/>
      <w:bCs/>
    </w:rPr>
  </w:style>
  <w:style w:type="paragraph" w:styleId="ac">
    <w:name w:val="Balloon Text"/>
    <w:basedOn w:val="a"/>
    <w:link w:val="ad"/>
    <w:uiPriority w:val="99"/>
    <w:semiHidden/>
    <w:unhideWhenUsed/>
    <w:rsid w:val="00905E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5E0D"/>
    <w:rPr>
      <w:rFonts w:ascii="Tahoma" w:hAnsi="Tahoma" w:cs="Tahoma"/>
      <w:sz w:val="16"/>
      <w:szCs w:val="16"/>
    </w:rPr>
  </w:style>
  <w:style w:type="paragraph" w:styleId="ae">
    <w:name w:val="Revision"/>
    <w:hidden/>
    <w:uiPriority w:val="99"/>
    <w:semiHidden/>
    <w:rsid w:val="000D1AD7"/>
    <w:pPr>
      <w:spacing w:after="0" w:line="240" w:lineRule="auto"/>
    </w:pPr>
  </w:style>
  <w:style w:type="paragraph" w:styleId="af">
    <w:name w:val="footnote text"/>
    <w:basedOn w:val="a"/>
    <w:link w:val="af0"/>
    <w:uiPriority w:val="99"/>
    <w:semiHidden/>
    <w:unhideWhenUsed/>
    <w:rsid w:val="00882D29"/>
    <w:pPr>
      <w:spacing w:after="0" w:line="240" w:lineRule="auto"/>
    </w:pPr>
    <w:rPr>
      <w:sz w:val="20"/>
      <w:szCs w:val="20"/>
    </w:rPr>
  </w:style>
  <w:style w:type="character" w:customStyle="1" w:styleId="af0">
    <w:name w:val="Текст сноски Знак"/>
    <w:basedOn w:val="a0"/>
    <w:link w:val="af"/>
    <w:uiPriority w:val="99"/>
    <w:semiHidden/>
    <w:rsid w:val="00882D29"/>
    <w:rPr>
      <w:sz w:val="20"/>
      <w:szCs w:val="20"/>
    </w:rPr>
  </w:style>
  <w:style w:type="character" w:styleId="af1">
    <w:name w:val="footnote reference"/>
    <w:basedOn w:val="a0"/>
    <w:uiPriority w:val="99"/>
    <w:semiHidden/>
    <w:unhideWhenUsed/>
    <w:rsid w:val="00882D29"/>
    <w:rPr>
      <w:vertAlign w:val="superscript"/>
    </w:rPr>
  </w:style>
  <w:style w:type="paragraph" w:styleId="af2">
    <w:name w:val="header"/>
    <w:basedOn w:val="a"/>
    <w:link w:val="af3"/>
    <w:uiPriority w:val="99"/>
    <w:semiHidden/>
    <w:unhideWhenUsed/>
    <w:rsid w:val="00C202B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C202B3"/>
  </w:style>
  <w:style w:type="paragraph" w:styleId="af4">
    <w:name w:val="footer"/>
    <w:basedOn w:val="a"/>
    <w:link w:val="af5"/>
    <w:uiPriority w:val="99"/>
    <w:unhideWhenUsed/>
    <w:rsid w:val="00C202B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202B3"/>
  </w:style>
  <w:style w:type="paragraph" w:styleId="af6">
    <w:name w:val="endnote text"/>
    <w:basedOn w:val="a"/>
    <w:link w:val="af7"/>
    <w:uiPriority w:val="99"/>
    <w:semiHidden/>
    <w:unhideWhenUsed/>
    <w:rsid w:val="00382362"/>
    <w:pPr>
      <w:spacing w:after="0" w:line="240" w:lineRule="auto"/>
    </w:pPr>
    <w:rPr>
      <w:sz w:val="20"/>
      <w:szCs w:val="20"/>
    </w:rPr>
  </w:style>
  <w:style w:type="character" w:customStyle="1" w:styleId="af7">
    <w:name w:val="Текст концевой сноски Знак"/>
    <w:basedOn w:val="a0"/>
    <w:link w:val="af6"/>
    <w:uiPriority w:val="99"/>
    <w:semiHidden/>
    <w:rsid w:val="00382362"/>
    <w:rPr>
      <w:sz w:val="20"/>
      <w:szCs w:val="20"/>
    </w:rPr>
  </w:style>
  <w:style w:type="character" w:styleId="af8">
    <w:name w:val="endnote reference"/>
    <w:basedOn w:val="a0"/>
    <w:uiPriority w:val="99"/>
    <w:semiHidden/>
    <w:unhideWhenUsed/>
    <w:rsid w:val="00382362"/>
    <w:rPr>
      <w:vertAlign w:val="superscript"/>
    </w:rPr>
  </w:style>
  <w:style w:type="table" w:styleId="af9">
    <w:name w:val="Table Grid"/>
    <w:basedOn w:val="a1"/>
    <w:uiPriority w:val="59"/>
    <w:rsid w:val="00B311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03889">
      <w:bodyDiv w:val="1"/>
      <w:marLeft w:val="0"/>
      <w:marRight w:val="0"/>
      <w:marTop w:val="0"/>
      <w:marBottom w:val="0"/>
      <w:divBdr>
        <w:top w:val="none" w:sz="0" w:space="0" w:color="auto"/>
        <w:left w:val="none" w:sz="0" w:space="0" w:color="auto"/>
        <w:bottom w:val="none" w:sz="0" w:space="0" w:color="auto"/>
        <w:right w:val="none" w:sz="0" w:space="0" w:color="auto"/>
      </w:divBdr>
    </w:div>
    <w:div w:id="74939528">
      <w:bodyDiv w:val="1"/>
      <w:marLeft w:val="0"/>
      <w:marRight w:val="0"/>
      <w:marTop w:val="0"/>
      <w:marBottom w:val="0"/>
      <w:divBdr>
        <w:top w:val="none" w:sz="0" w:space="0" w:color="auto"/>
        <w:left w:val="none" w:sz="0" w:space="0" w:color="auto"/>
        <w:bottom w:val="none" w:sz="0" w:space="0" w:color="auto"/>
        <w:right w:val="none" w:sz="0" w:space="0" w:color="auto"/>
      </w:divBdr>
    </w:div>
    <w:div w:id="161285107">
      <w:bodyDiv w:val="1"/>
      <w:marLeft w:val="0"/>
      <w:marRight w:val="0"/>
      <w:marTop w:val="0"/>
      <w:marBottom w:val="0"/>
      <w:divBdr>
        <w:top w:val="none" w:sz="0" w:space="0" w:color="auto"/>
        <w:left w:val="none" w:sz="0" w:space="0" w:color="auto"/>
        <w:bottom w:val="none" w:sz="0" w:space="0" w:color="auto"/>
        <w:right w:val="none" w:sz="0" w:space="0" w:color="auto"/>
      </w:divBdr>
      <w:divsChild>
        <w:div w:id="1545828464">
          <w:marLeft w:val="0"/>
          <w:marRight w:val="0"/>
          <w:marTop w:val="0"/>
          <w:marBottom w:val="0"/>
          <w:divBdr>
            <w:top w:val="none" w:sz="0" w:space="0" w:color="auto"/>
            <w:left w:val="none" w:sz="0" w:space="0" w:color="auto"/>
            <w:bottom w:val="none" w:sz="0" w:space="0" w:color="auto"/>
            <w:right w:val="none" w:sz="0" w:space="0" w:color="auto"/>
          </w:divBdr>
          <w:divsChild>
            <w:div w:id="421341146">
              <w:marLeft w:val="0"/>
              <w:marRight w:val="0"/>
              <w:marTop w:val="0"/>
              <w:marBottom w:val="0"/>
              <w:divBdr>
                <w:top w:val="none" w:sz="0" w:space="0" w:color="auto"/>
                <w:left w:val="none" w:sz="0" w:space="0" w:color="auto"/>
                <w:bottom w:val="none" w:sz="0" w:space="0" w:color="auto"/>
                <w:right w:val="none" w:sz="0" w:space="0" w:color="auto"/>
              </w:divBdr>
              <w:divsChild>
                <w:div w:id="3489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056">
      <w:bodyDiv w:val="1"/>
      <w:marLeft w:val="0"/>
      <w:marRight w:val="0"/>
      <w:marTop w:val="0"/>
      <w:marBottom w:val="0"/>
      <w:divBdr>
        <w:top w:val="none" w:sz="0" w:space="0" w:color="auto"/>
        <w:left w:val="none" w:sz="0" w:space="0" w:color="auto"/>
        <w:bottom w:val="none" w:sz="0" w:space="0" w:color="auto"/>
        <w:right w:val="none" w:sz="0" w:space="0" w:color="auto"/>
      </w:divBdr>
    </w:div>
    <w:div w:id="258292627">
      <w:bodyDiv w:val="1"/>
      <w:marLeft w:val="0"/>
      <w:marRight w:val="0"/>
      <w:marTop w:val="0"/>
      <w:marBottom w:val="0"/>
      <w:divBdr>
        <w:top w:val="none" w:sz="0" w:space="0" w:color="auto"/>
        <w:left w:val="none" w:sz="0" w:space="0" w:color="auto"/>
        <w:bottom w:val="none" w:sz="0" w:space="0" w:color="auto"/>
        <w:right w:val="none" w:sz="0" w:space="0" w:color="auto"/>
      </w:divBdr>
    </w:div>
    <w:div w:id="269047827">
      <w:bodyDiv w:val="1"/>
      <w:marLeft w:val="0"/>
      <w:marRight w:val="0"/>
      <w:marTop w:val="0"/>
      <w:marBottom w:val="0"/>
      <w:divBdr>
        <w:top w:val="none" w:sz="0" w:space="0" w:color="auto"/>
        <w:left w:val="none" w:sz="0" w:space="0" w:color="auto"/>
        <w:bottom w:val="none" w:sz="0" w:space="0" w:color="auto"/>
        <w:right w:val="none" w:sz="0" w:space="0" w:color="auto"/>
      </w:divBdr>
    </w:div>
    <w:div w:id="272515850">
      <w:bodyDiv w:val="1"/>
      <w:marLeft w:val="0"/>
      <w:marRight w:val="0"/>
      <w:marTop w:val="0"/>
      <w:marBottom w:val="0"/>
      <w:divBdr>
        <w:top w:val="none" w:sz="0" w:space="0" w:color="auto"/>
        <w:left w:val="none" w:sz="0" w:space="0" w:color="auto"/>
        <w:bottom w:val="none" w:sz="0" w:space="0" w:color="auto"/>
        <w:right w:val="none" w:sz="0" w:space="0" w:color="auto"/>
      </w:divBdr>
    </w:div>
    <w:div w:id="306203975">
      <w:bodyDiv w:val="1"/>
      <w:marLeft w:val="0"/>
      <w:marRight w:val="0"/>
      <w:marTop w:val="0"/>
      <w:marBottom w:val="0"/>
      <w:divBdr>
        <w:top w:val="none" w:sz="0" w:space="0" w:color="auto"/>
        <w:left w:val="none" w:sz="0" w:space="0" w:color="auto"/>
        <w:bottom w:val="none" w:sz="0" w:space="0" w:color="auto"/>
        <w:right w:val="none" w:sz="0" w:space="0" w:color="auto"/>
      </w:divBdr>
    </w:div>
    <w:div w:id="310645930">
      <w:bodyDiv w:val="1"/>
      <w:marLeft w:val="0"/>
      <w:marRight w:val="0"/>
      <w:marTop w:val="0"/>
      <w:marBottom w:val="0"/>
      <w:divBdr>
        <w:top w:val="none" w:sz="0" w:space="0" w:color="auto"/>
        <w:left w:val="none" w:sz="0" w:space="0" w:color="auto"/>
        <w:bottom w:val="none" w:sz="0" w:space="0" w:color="auto"/>
        <w:right w:val="none" w:sz="0" w:space="0" w:color="auto"/>
      </w:divBdr>
    </w:div>
    <w:div w:id="336884973">
      <w:bodyDiv w:val="1"/>
      <w:marLeft w:val="0"/>
      <w:marRight w:val="0"/>
      <w:marTop w:val="0"/>
      <w:marBottom w:val="0"/>
      <w:divBdr>
        <w:top w:val="none" w:sz="0" w:space="0" w:color="auto"/>
        <w:left w:val="none" w:sz="0" w:space="0" w:color="auto"/>
        <w:bottom w:val="none" w:sz="0" w:space="0" w:color="auto"/>
        <w:right w:val="none" w:sz="0" w:space="0" w:color="auto"/>
      </w:divBdr>
    </w:div>
    <w:div w:id="408769158">
      <w:bodyDiv w:val="1"/>
      <w:marLeft w:val="0"/>
      <w:marRight w:val="0"/>
      <w:marTop w:val="0"/>
      <w:marBottom w:val="0"/>
      <w:divBdr>
        <w:top w:val="none" w:sz="0" w:space="0" w:color="auto"/>
        <w:left w:val="none" w:sz="0" w:space="0" w:color="auto"/>
        <w:bottom w:val="none" w:sz="0" w:space="0" w:color="auto"/>
        <w:right w:val="none" w:sz="0" w:space="0" w:color="auto"/>
      </w:divBdr>
    </w:div>
    <w:div w:id="411005013">
      <w:bodyDiv w:val="1"/>
      <w:marLeft w:val="0"/>
      <w:marRight w:val="0"/>
      <w:marTop w:val="0"/>
      <w:marBottom w:val="0"/>
      <w:divBdr>
        <w:top w:val="none" w:sz="0" w:space="0" w:color="auto"/>
        <w:left w:val="none" w:sz="0" w:space="0" w:color="auto"/>
        <w:bottom w:val="none" w:sz="0" w:space="0" w:color="auto"/>
        <w:right w:val="none" w:sz="0" w:space="0" w:color="auto"/>
      </w:divBdr>
    </w:div>
    <w:div w:id="460923279">
      <w:bodyDiv w:val="1"/>
      <w:marLeft w:val="0"/>
      <w:marRight w:val="0"/>
      <w:marTop w:val="0"/>
      <w:marBottom w:val="0"/>
      <w:divBdr>
        <w:top w:val="none" w:sz="0" w:space="0" w:color="auto"/>
        <w:left w:val="none" w:sz="0" w:space="0" w:color="auto"/>
        <w:bottom w:val="none" w:sz="0" w:space="0" w:color="auto"/>
        <w:right w:val="none" w:sz="0" w:space="0" w:color="auto"/>
      </w:divBdr>
    </w:div>
    <w:div w:id="469785459">
      <w:bodyDiv w:val="1"/>
      <w:marLeft w:val="0"/>
      <w:marRight w:val="0"/>
      <w:marTop w:val="0"/>
      <w:marBottom w:val="0"/>
      <w:divBdr>
        <w:top w:val="none" w:sz="0" w:space="0" w:color="auto"/>
        <w:left w:val="none" w:sz="0" w:space="0" w:color="auto"/>
        <w:bottom w:val="none" w:sz="0" w:space="0" w:color="auto"/>
        <w:right w:val="none" w:sz="0" w:space="0" w:color="auto"/>
      </w:divBdr>
    </w:div>
    <w:div w:id="497890435">
      <w:bodyDiv w:val="1"/>
      <w:marLeft w:val="0"/>
      <w:marRight w:val="0"/>
      <w:marTop w:val="0"/>
      <w:marBottom w:val="0"/>
      <w:divBdr>
        <w:top w:val="none" w:sz="0" w:space="0" w:color="auto"/>
        <w:left w:val="none" w:sz="0" w:space="0" w:color="auto"/>
        <w:bottom w:val="none" w:sz="0" w:space="0" w:color="auto"/>
        <w:right w:val="none" w:sz="0" w:space="0" w:color="auto"/>
      </w:divBdr>
    </w:div>
    <w:div w:id="509607938">
      <w:bodyDiv w:val="1"/>
      <w:marLeft w:val="0"/>
      <w:marRight w:val="0"/>
      <w:marTop w:val="0"/>
      <w:marBottom w:val="0"/>
      <w:divBdr>
        <w:top w:val="none" w:sz="0" w:space="0" w:color="auto"/>
        <w:left w:val="none" w:sz="0" w:space="0" w:color="auto"/>
        <w:bottom w:val="none" w:sz="0" w:space="0" w:color="auto"/>
        <w:right w:val="none" w:sz="0" w:space="0" w:color="auto"/>
      </w:divBdr>
    </w:div>
    <w:div w:id="619527813">
      <w:bodyDiv w:val="1"/>
      <w:marLeft w:val="0"/>
      <w:marRight w:val="0"/>
      <w:marTop w:val="0"/>
      <w:marBottom w:val="0"/>
      <w:divBdr>
        <w:top w:val="none" w:sz="0" w:space="0" w:color="auto"/>
        <w:left w:val="none" w:sz="0" w:space="0" w:color="auto"/>
        <w:bottom w:val="none" w:sz="0" w:space="0" w:color="auto"/>
        <w:right w:val="none" w:sz="0" w:space="0" w:color="auto"/>
      </w:divBdr>
      <w:divsChild>
        <w:div w:id="768965625">
          <w:marLeft w:val="0"/>
          <w:marRight w:val="0"/>
          <w:marTop w:val="0"/>
          <w:marBottom w:val="0"/>
          <w:divBdr>
            <w:top w:val="none" w:sz="0" w:space="0" w:color="auto"/>
            <w:left w:val="none" w:sz="0" w:space="0" w:color="auto"/>
            <w:bottom w:val="none" w:sz="0" w:space="0" w:color="auto"/>
            <w:right w:val="none" w:sz="0" w:space="0" w:color="auto"/>
          </w:divBdr>
        </w:div>
      </w:divsChild>
    </w:div>
    <w:div w:id="650713577">
      <w:bodyDiv w:val="1"/>
      <w:marLeft w:val="0"/>
      <w:marRight w:val="0"/>
      <w:marTop w:val="0"/>
      <w:marBottom w:val="0"/>
      <w:divBdr>
        <w:top w:val="none" w:sz="0" w:space="0" w:color="auto"/>
        <w:left w:val="none" w:sz="0" w:space="0" w:color="auto"/>
        <w:bottom w:val="none" w:sz="0" w:space="0" w:color="auto"/>
        <w:right w:val="none" w:sz="0" w:space="0" w:color="auto"/>
      </w:divBdr>
    </w:div>
    <w:div w:id="684745418">
      <w:bodyDiv w:val="1"/>
      <w:marLeft w:val="0"/>
      <w:marRight w:val="0"/>
      <w:marTop w:val="0"/>
      <w:marBottom w:val="0"/>
      <w:divBdr>
        <w:top w:val="none" w:sz="0" w:space="0" w:color="auto"/>
        <w:left w:val="none" w:sz="0" w:space="0" w:color="auto"/>
        <w:bottom w:val="none" w:sz="0" w:space="0" w:color="auto"/>
        <w:right w:val="none" w:sz="0" w:space="0" w:color="auto"/>
      </w:divBdr>
    </w:div>
    <w:div w:id="1022702917">
      <w:bodyDiv w:val="1"/>
      <w:marLeft w:val="0"/>
      <w:marRight w:val="0"/>
      <w:marTop w:val="0"/>
      <w:marBottom w:val="0"/>
      <w:divBdr>
        <w:top w:val="none" w:sz="0" w:space="0" w:color="auto"/>
        <w:left w:val="none" w:sz="0" w:space="0" w:color="auto"/>
        <w:bottom w:val="none" w:sz="0" w:space="0" w:color="auto"/>
        <w:right w:val="none" w:sz="0" w:space="0" w:color="auto"/>
      </w:divBdr>
    </w:div>
    <w:div w:id="1072315661">
      <w:bodyDiv w:val="1"/>
      <w:marLeft w:val="0"/>
      <w:marRight w:val="0"/>
      <w:marTop w:val="0"/>
      <w:marBottom w:val="0"/>
      <w:divBdr>
        <w:top w:val="none" w:sz="0" w:space="0" w:color="auto"/>
        <w:left w:val="none" w:sz="0" w:space="0" w:color="auto"/>
        <w:bottom w:val="none" w:sz="0" w:space="0" w:color="auto"/>
        <w:right w:val="none" w:sz="0" w:space="0" w:color="auto"/>
      </w:divBdr>
    </w:div>
    <w:div w:id="1089277658">
      <w:bodyDiv w:val="1"/>
      <w:marLeft w:val="0"/>
      <w:marRight w:val="0"/>
      <w:marTop w:val="0"/>
      <w:marBottom w:val="0"/>
      <w:divBdr>
        <w:top w:val="none" w:sz="0" w:space="0" w:color="auto"/>
        <w:left w:val="none" w:sz="0" w:space="0" w:color="auto"/>
        <w:bottom w:val="none" w:sz="0" w:space="0" w:color="auto"/>
        <w:right w:val="none" w:sz="0" w:space="0" w:color="auto"/>
      </w:divBdr>
    </w:div>
    <w:div w:id="1130903774">
      <w:bodyDiv w:val="1"/>
      <w:marLeft w:val="0"/>
      <w:marRight w:val="0"/>
      <w:marTop w:val="0"/>
      <w:marBottom w:val="0"/>
      <w:divBdr>
        <w:top w:val="none" w:sz="0" w:space="0" w:color="auto"/>
        <w:left w:val="none" w:sz="0" w:space="0" w:color="auto"/>
        <w:bottom w:val="none" w:sz="0" w:space="0" w:color="auto"/>
        <w:right w:val="none" w:sz="0" w:space="0" w:color="auto"/>
      </w:divBdr>
    </w:div>
    <w:div w:id="1140266947">
      <w:bodyDiv w:val="1"/>
      <w:marLeft w:val="0"/>
      <w:marRight w:val="0"/>
      <w:marTop w:val="0"/>
      <w:marBottom w:val="0"/>
      <w:divBdr>
        <w:top w:val="none" w:sz="0" w:space="0" w:color="auto"/>
        <w:left w:val="none" w:sz="0" w:space="0" w:color="auto"/>
        <w:bottom w:val="none" w:sz="0" w:space="0" w:color="auto"/>
        <w:right w:val="none" w:sz="0" w:space="0" w:color="auto"/>
      </w:divBdr>
    </w:div>
    <w:div w:id="1208834014">
      <w:bodyDiv w:val="1"/>
      <w:marLeft w:val="0"/>
      <w:marRight w:val="0"/>
      <w:marTop w:val="0"/>
      <w:marBottom w:val="0"/>
      <w:divBdr>
        <w:top w:val="none" w:sz="0" w:space="0" w:color="auto"/>
        <w:left w:val="none" w:sz="0" w:space="0" w:color="auto"/>
        <w:bottom w:val="none" w:sz="0" w:space="0" w:color="auto"/>
        <w:right w:val="none" w:sz="0" w:space="0" w:color="auto"/>
      </w:divBdr>
    </w:div>
    <w:div w:id="1279071441">
      <w:bodyDiv w:val="1"/>
      <w:marLeft w:val="0"/>
      <w:marRight w:val="0"/>
      <w:marTop w:val="0"/>
      <w:marBottom w:val="0"/>
      <w:divBdr>
        <w:top w:val="none" w:sz="0" w:space="0" w:color="auto"/>
        <w:left w:val="none" w:sz="0" w:space="0" w:color="auto"/>
        <w:bottom w:val="none" w:sz="0" w:space="0" w:color="auto"/>
        <w:right w:val="none" w:sz="0" w:space="0" w:color="auto"/>
      </w:divBdr>
    </w:div>
    <w:div w:id="1374769485">
      <w:bodyDiv w:val="1"/>
      <w:marLeft w:val="0"/>
      <w:marRight w:val="0"/>
      <w:marTop w:val="0"/>
      <w:marBottom w:val="0"/>
      <w:divBdr>
        <w:top w:val="none" w:sz="0" w:space="0" w:color="auto"/>
        <w:left w:val="none" w:sz="0" w:space="0" w:color="auto"/>
        <w:bottom w:val="none" w:sz="0" w:space="0" w:color="auto"/>
        <w:right w:val="none" w:sz="0" w:space="0" w:color="auto"/>
      </w:divBdr>
    </w:div>
    <w:div w:id="1414548969">
      <w:bodyDiv w:val="1"/>
      <w:marLeft w:val="0"/>
      <w:marRight w:val="0"/>
      <w:marTop w:val="0"/>
      <w:marBottom w:val="0"/>
      <w:divBdr>
        <w:top w:val="none" w:sz="0" w:space="0" w:color="auto"/>
        <w:left w:val="none" w:sz="0" w:space="0" w:color="auto"/>
        <w:bottom w:val="none" w:sz="0" w:space="0" w:color="auto"/>
        <w:right w:val="none" w:sz="0" w:space="0" w:color="auto"/>
      </w:divBdr>
    </w:div>
    <w:div w:id="1546721579">
      <w:bodyDiv w:val="1"/>
      <w:marLeft w:val="0"/>
      <w:marRight w:val="0"/>
      <w:marTop w:val="0"/>
      <w:marBottom w:val="0"/>
      <w:divBdr>
        <w:top w:val="none" w:sz="0" w:space="0" w:color="auto"/>
        <w:left w:val="none" w:sz="0" w:space="0" w:color="auto"/>
        <w:bottom w:val="none" w:sz="0" w:space="0" w:color="auto"/>
        <w:right w:val="none" w:sz="0" w:space="0" w:color="auto"/>
      </w:divBdr>
    </w:div>
    <w:div w:id="1657684664">
      <w:bodyDiv w:val="1"/>
      <w:marLeft w:val="0"/>
      <w:marRight w:val="0"/>
      <w:marTop w:val="0"/>
      <w:marBottom w:val="0"/>
      <w:divBdr>
        <w:top w:val="none" w:sz="0" w:space="0" w:color="auto"/>
        <w:left w:val="none" w:sz="0" w:space="0" w:color="auto"/>
        <w:bottom w:val="none" w:sz="0" w:space="0" w:color="auto"/>
        <w:right w:val="none" w:sz="0" w:space="0" w:color="auto"/>
      </w:divBdr>
    </w:div>
    <w:div w:id="1692802710">
      <w:bodyDiv w:val="1"/>
      <w:marLeft w:val="0"/>
      <w:marRight w:val="0"/>
      <w:marTop w:val="0"/>
      <w:marBottom w:val="0"/>
      <w:divBdr>
        <w:top w:val="none" w:sz="0" w:space="0" w:color="auto"/>
        <w:left w:val="none" w:sz="0" w:space="0" w:color="auto"/>
        <w:bottom w:val="none" w:sz="0" w:space="0" w:color="auto"/>
        <w:right w:val="none" w:sz="0" w:space="0" w:color="auto"/>
      </w:divBdr>
    </w:div>
    <w:div w:id="1764497816">
      <w:bodyDiv w:val="1"/>
      <w:marLeft w:val="0"/>
      <w:marRight w:val="0"/>
      <w:marTop w:val="0"/>
      <w:marBottom w:val="0"/>
      <w:divBdr>
        <w:top w:val="none" w:sz="0" w:space="0" w:color="auto"/>
        <w:left w:val="none" w:sz="0" w:space="0" w:color="auto"/>
        <w:bottom w:val="none" w:sz="0" w:space="0" w:color="auto"/>
        <w:right w:val="none" w:sz="0" w:space="0" w:color="auto"/>
      </w:divBdr>
    </w:div>
    <w:div w:id="1835295286">
      <w:bodyDiv w:val="1"/>
      <w:marLeft w:val="0"/>
      <w:marRight w:val="0"/>
      <w:marTop w:val="0"/>
      <w:marBottom w:val="0"/>
      <w:divBdr>
        <w:top w:val="none" w:sz="0" w:space="0" w:color="auto"/>
        <w:left w:val="none" w:sz="0" w:space="0" w:color="auto"/>
        <w:bottom w:val="none" w:sz="0" w:space="0" w:color="auto"/>
        <w:right w:val="none" w:sz="0" w:space="0" w:color="auto"/>
      </w:divBdr>
    </w:div>
    <w:div w:id="1853035275">
      <w:bodyDiv w:val="1"/>
      <w:marLeft w:val="0"/>
      <w:marRight w:val="0"/>
      <w:marTop w:val="0"/>
      <w:marBottom w:val="0"/>
      <w:divBdr>
        <w:top w:val="none" w:sz="0" w:space="0" w:color="auto"/>
        <w:left w:val="none" w:sz="0" w:space="0" w:color="auto"/>
        <w:bottom w:val="none" w:sz="0" w:space="0" w:color="auto"/>
        <w:right w:val="none" w:sz="0" w:space="0" w:color="auto"/>
      </w:divBdr>
    </w:div>
    <w:div w:id="1999458252">
      <w:bodyDiv w:val="1"/>
      <w:marLeft w:val="0"/>
      <w:marRight w:val="0"/>
      <w:marTop w:val="0"/>
      <w:marBottom w:val="0"/>
      <w:divBdr>
        <w:top w:val="none" w:sz="0" w:space="0" w:color="auto"/>
        <w:left w:val="none" w:sz="0" w:space="0" w:color="auto"/>
        <w:bottom w:val="none" w:sz="0" w:space="0" w:color="auto"/>
        <w:right w:val="none" w:sz="0" w:space="0" w:color="auto"/>
      </w:divBdr>
    </w:div>
    <w:div w:id="2040084165">
      <w:bodyDiv w:val="1"/>
      <w:marLeft w:val="0"/>
      <w:marRight w:val="0"/>
      <w:marTop w:val="0"/>
      <w:marBottom w:val="0"/>
      <w:divBdr>
        <w:top w:val="none" w:sz="0" w:space="0" w:color="auto"/>
        <w:left w:val="none" w:sz="0" w:space="0" w:color="auto"/>
        <w:bottom w:val="none" w:sz="0" w:space="0" w:color="auto"/>
        <w:right w:val="none" w:sz="0" w:space="0" w:color="auto"/>
      </w:divBdr>
    </w:div>
    <w:div w:id="20562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8068C711AB36CE01BE8E026B440B8083C58A7F7564D45038389DC642412201417993C737E15Y12A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4F12B573DEBA1911B060F71E58E4817E651327C4122CAFF778473DC53C059B56EE4670AEC64EDDAh2vBH" TargetMode="External"/><Relationship Id="rId4" Type="http://schemas.openxmlformats.org/officeDocument/2006/relationships/settings" Target="settings.xml"/><Relationship Id="rId9" Type="http://schemas.openxmlformats.org/officeDocument/2006/relationships/hyperlink" Target="consultantplus://offline/ref=6AD8068C711AB36CE01BE8E026B440B8083C58A7F7564D45038389DCY62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CAC76-D006-49F7-8070-CF8C4649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4526</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tavakova</dc:creator>
  <cp:lastModifiedBy>tavakova</cp:lastModifiedBy>
  <cp:revision>7</cp:revision>
  <cp:lastPrinted>2013-10-15T10:39:00Z</cp:lastPrinted>
  <dcterms:created xsi:type="dcterms:W3CDTF">2013-10-23T12:40:00Z</dcterms:created>
  <dcterms:modified xsi:type="dcterms:W3CDTF">2013-10-23T12:55:00Z</dcterms:modified>
</cp:coreProperties>
</file>