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DA46D" w14:textId="77777777" w:rsidR="000A4E0F" w:rsidRPr="0087454E" w:rsidRDefault="000A4E0F" w:rsidP="000A4E0F">
      <w:pPr>
        <w:jc w:val="right"/>
        <w:rPr>
          <w:sz w:val="28"/>
        </w:rPr>
      </w:pPr>
    </w:p>
    <w:p w14:paraId="3B09BFC4" w14:textId="77777777" w:rsidR="000A4E0F" w:rsidRPr="0087454E" w:rsidRDefault="000A4E0F" w:rsidP="000A4E0F">
      <w:pPr>
        <w:jc w:val="center"/>
        <w:rPr>
          <w:b/>
          <w:caps/>
          <w:sz w:val="34"/>
          <w:szCs w:val="34"/>
        </w:rPr>
      </w:pPr>
    </w:p>
    <w:p w14:paraId="000E97B3" w14:textId="77777777" w:rsidR="000A4E0F" w:rsidRPr="0087454E" w:rsidRDefault="000A4E0F" w:rsidP="000A4E0F">
      <w:pPr>
        <w:jc w:val="center"/>
        <w:rPr>
          <w:b/>
          <w:caps/>
          <w:sz w:val="34"/>
          <w:szCs w:val="34"/>
        </w:rPr>
      </w:pPr>
    </w:p>
    <w:p w14:paraId="4ADE6B2B" w14:textId="5A964F00" w:rsidR="000A4E0F" w:rsidRPr="00F840B8" w:rsidRDefault="000A4E0F" w:rsidP="000A4E0F">
      <w:pPr>
        <w:jc w:val="center"/>
        <w:rPr>
          <w:b/>
          <w:caps/>
          <w:sz w:val="34"/>
          <w:szCs w:val="34"/>
        </w:rPr>
      </w:pPr>
      <w:r w:rsidRPr="00F840B8">
        <w:rPr>
          <w:noProof/>
        </w:rPr>
        <w:drawing>
          <wp:anchor distT="0" distB="0" distL="114935" distR="114935" simplePos="0" relativeHeight="251659264" behindDoc="1" locked="0" layoutInCell="1" allowOverlap="1" wp14:anchorId="05EFD792" wp14:editId="574DB143">
            <wp:simplePos x="0" y="0"/>
            <wp:positionH relativeFrom="column">
              <wp:posOffset>2514600</wp:posOffset>
            </wp:positionH>
            <wp:positionV relativeFrom="paragraph">
              <wp:posOffset>-571500</wp:posOffset>
            </wp:positionV>
            <wp:extent cx="692785" cy="62103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6210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F840B8">
        <w:rPr>
          <w:b/>
          <w:caps/>
          <w:sz w:val="34"/>
          <w:szCs w:val="34"/>
        </w:rPr>
        <w:t>Ф</w:t>
      </w:r>
      <w:r w:rsidRPr="00F840B8">
        <w:rPr>
          <w:caps/>
          <w:sz w:val="28"/>
          <w:szCs w:val="28"/>
        </w:rPr>
        <w:t>едеральная</w:t>
      </w:r>
      <w:r w:rsidRPr="00F840B8">
        <w:rPr>
          <w:b/>
          <w:caps/>
          <w:sz w:val="32"/>
          <w:szCs w:val="32"/>
        </w:rPr>
        <w:t xml:space="preserve"> </w:t>
      </w:r>
      <w:r w:rsidRPr="00F840B8">
        <w:rPr>
          <w:b/>
          <w:caps/>
          <w:sz w:val="34"/>
          <w:szCs w:val="34"/>
        </w:rPr>
        <w:t>а</w:t>
      </w:r>
      <w:r w:rsidRPr="00F840B8">
        <w:rPr>
          <w:caps/>
          <w:sz w:val="28"/>
          <w:szCs w:val="28"/>
        </w:rPr>
        <w:t>нтимонопольная</w:t>
      </w:r>
      <w:r w:rsidRPr="00F840B8">
        <w:rPr>
          <w:b/>
          <w:caps/>
          <w:sz w:val="32"/>
          <w:szCs w:val="32"/>
        </w:rPr>
        <w:t xml:space="preserve"> </w:t>
      </w:r>
      <w:r w:rsidRPr="00F840B8">
        <w:rPr>
          <w:b/>
          <w:caps/>
          <w:sz w:val="34"/>
          <w:szCs w:val="34"/>
        </w:rPr>
        <w:t>с</w:t>
      </w:r>
      <w:r w:rsidRPr="00F840B8">
        <w:rPr>
          <w:caps/>
          <w:sz w:val="28"/>
          <w:szCs w:val="28"/>
        </w:rPr>
        <w:t>лужба</w:t>
      </w:r>
    </w:p>
    <w:p w14:paraId="51C232DA" w14:textId="77777777" w:rsidR="000A4E0F" w:rsidRPr="00F840B8" w:rsidRDefault="000A4E0F" w:rsidP="000A4E0F">
      <w:pPr>
        <w:jc w:val="center"/>
        <w:rPr>
          <w:b/>
          <w:caps/>
          <w:u w:val="single"/>
        </w:rPr>
      </w:pPr>
      <w:r w:rsidRPr="00F840B8">
        <w:rPr>
          <w:b/>
          <w:caps/>
          <w:u w:val="single"/>
        </w:rPr>
        <w:t xml:space="preserve">                                  Управление КОНТРОЛЯ ПРОМЫШЛЕННОСТИ </w:t>
      </w:r>
      <w:r>
        <w:rPr>
          <w:b/>
          <w:caps/>
          <w:u w:val="single"/>
        </w:rPr>
        <w:t>__</w:t>
      </w:r>
      <w:r w:rsidRPr="00F840B8">
        <w:rPr>
          <w:b/>
          <w:caps/>
          <w:u w:val="single"/>
        </w:rPr>
        <w:t xml:space="preserve">                        </w:t>
      </w:r>
      <w:r>
        <w:rPr>
          <w:b/>
          <w:caps/>
          <w:u w:val="single"/>
        </w:rPr>
        <w:t>_</w:t>
      </w:r>
      <w:r w:rsidRPr="00F840B8">
        <w:rPr>
          <w:b/>
          <w:caps/>
          <w:u w:val="single"/>
        </w:rPr>
        <w:t xml:space="preserve">     </w:t>
      </w:r>
      <w:r w:rsidRPr="00F840B8">
        <w:rPr>
          <w:b/>
          <w:caps/>
          <w:color w:val="FFFFFF"/>
          <w:u w:val="single"/>
        </w:rPr>
        <w:t>.</w:t>
      </w:r>
    </w:p>
    <w:p w14:paraId="3816888A" w14:textId="77777777" w:rsidR="0054305D" w:rsidRDefault="0054305D" w:rsidP="0054305D">
      <w:pPr>
        <w:jc w:val="center"/>
        <w:rPr>
          <w:b/>
          <w:bCs/>
          <w:color w:val="000000"/>
          <w:sz w:val="40"/>
          <w:szCs w:val="40"/>
        </w:rPr>
      </w:pPr>
    </w:p>
    <w:p w14:paraId="5380F2AB" w14:textId="77777777" w:rsidR="0054305D" w:rsidRDefault="0054305D" w:rsidP="0054305D">
      <w:pPr>
        <w:jc w:val="center"/>
        <w:rPr>
          <w:b/>
          <w:bCs/>
          <w:color w:val="000000"/>
          <w:sz w:val="40"/>
          <w:szCs w:val="40"/>
        </w:rPr>
      </w:pPr>
    </w:p>
    <w:p w14:paraId="14EA707A" w14:textId="77777777" w:rsidR="0054305D" w:rsidRDefault="0054305D" w:rsidP="0054305D">
      <w:pPr>
        <w:jc w:val="center"/>
        <w:rPr>
          <w:b/>
          <w:bCs/>
          <w:color w:val="000000"/>
          <w:sz w:val="40"/>
          <w:szCs w:val="40"/>
        </w:rPr>
      </w:pPr>
    </w:p>
    <w:p w14:paraId="00E9B072" w14:textId="77777777" w:rsidR="0054305D" w:rsidRDefault="0054305D" w:rsidP="0054305D">
      <w:pPr>
        <w:jc w:val="center"/>
        <w:rPr>
          <w:b/>
          <w:bCs/>
          <w:color w:val="000000"/>
          <w:sz w:val="40"/>
          <w:szCs w:val="40"/>
        </w:rPr>
      </w:pPr>
    </w:p>
    <w:p w14:paraId="2022BAC4" w14:textId="77777777" w:rsidR="0054305D" w:rsidRDefault="0054305D" w:rsidP="0054305D">
      <w:pPr>
        <w:jc w:val="center"/>
        <w:rPr>
          <w:b/>
          <w:bCs/>
          <w:color w:val="000000"/>
          <w:sz w:val="40"/>
          <w:szCs w:val="40"/>
        </w:rPr>
      </w:pPr>
    </w:p>
    <w:p w14:paraId="6F63B144" w14:textId="77777777" w:rsidR="0054305D" w:rsidRDefault="0054305D" w:rsidP="0054305D">
      <w:pPr>
        <w:jc w:val="center"/>
        <w:rPr>
          <w:b/>
          <w:bCs/>
          <w:color w:val="000000"/>
          <w:sz w:val="40"/>
          <w:szCs w:val="40"/>
        </w:rPr>
      </w:pPr>
    </w:p>
    <w:p w14:paraId="5E946EA8" w14:textId="77777777" w:rsidR="0054305D" w:rsidRDefault="0054305D" w:rsidP="0054305D">
      <w:pPr>
        <w:jc w:val="center"/>
        <w:rPr>
          <w:b/>
          <w:bCs/>
          <w:color w:val="000000"/>
          <w:sz w:val="40"/>
          <w:szCs w:val="40"/>
        </w:rPr>
      </w:pPr>
    </w:p>
    <w:p w14:paraId="7F66094E" w14:textId="77777777" w:rsidR="0054305D" w:rsidRDefault="0054305D" w:rsidP="0054305D">
      <w:pPr>
        <w:jc w:val="center"/>
        <w:rPr>
          <w:b/>
          <w:bCs/>
          <w:color w:val="000000"/>
          <w:sz w:val="40"/>
          <w:szCs w:val="40"/>
        </w:rPr>
      </w:pPr>
    </w:p>
    <w:p w14:paraId="087FF338" w14:textId="77777777" w:rsidR="0054305D" w:rsidRDefault="0054305D" w:rsidP="0054305D">
      <w:pPr>
        <w:jc w:val="center"/>
        <w:rPr>
          <w:b/>
          <w:bCs/>
          <w:color w:val="000000"/>
          <w:sz w:val="40"/>
          <w:szCs w:val="40"/>
        </w:rPr>
      </w:pPr>
    </w:p>
    <w:p w14:paraId="2FA264D1" w14:textId="77777777" w:rsidR="0054305D" w:rsidRDefault="0054305D" w:rsidP="0054305D">
      <w:pPr>
        <w:jc w:val="center"/>
        <w:rPr>
          <w:b/>
          <w:bCs/>
          <w:color w:val="000000"/>
          <w:sz w:val="40"/>
          <w:szCs w:val="40"/>
        </w:rPr>
      </w:pPr>
    </w:p>
    <w:p w14:paraId="0402659E" w14:textId="77777777" w:rsidR="0054305D" w:rsidRPr="000A4E0F" w:rsidRDefault="0054305D" w:rsidP="0054305D">
      <w:pPr>
        <w:jc w:val="center"/>
        <w:rPr>
          <w:b/>
          <w:bCs/>
          <w:color w:val="000000"/>
          <w:sz w:val="32"/>
          <w:szCs w:val="32"/>
        </w:rPr>
      </w:pPr>
      <w:r w:rsidRPr="000A4E0F">
        <w:rPr>
          <w:b/>
          <w:bCs/>
          <w:color w:val="000000"/>
          <w:sz w:val="32"/>
          <w:szCs w:val="32"/>
        </w:rPr>
        <w:t xml:space="preserve">АНАЛИТИЧЕСКИЙ ОТЧЕТ </w:t>
      </w:r>
    </w:p>
    <w:p w14:paraId="6B012102" w14:textId="401631FB" w:rsidR="0054305D" w:rsidRPr="000A4E0F" w:rsidRDefault="0054305D" w:rsidP="0054305D">
      <w:pPr>
        <w:jc w:val="center"/>
        <w:rPr>
          <w:b/>
          <w:bCs/>
          <w:color w:val="000000"/>
          <w:sz w:val="32"/>
          <w:szCs w:val="32"/>
        </w:rPr>
      </w:pPr>
      <w:r w:rsidRPr="000A4E0F">
        <w:rPr>
          <w:b/>
          <w:bCs/>
          <w:color w:val="000000"/>
          <w:sz w:val="32"/>
          <w:szCs w:val="32"/>
        </w:rPr>
        <w:t>ПО РЕЗУЛЬТАТАМ АНАЛИЗА СОСТОЯНИЯ КОНКУРЕНЦИИ НА ТОВАРНОМ РЫНКЕ ПОДВЕСНЫХ ПОТОЛОЧНЫХ КОНСТРУКЦИЙ</w:t>
      </w:r>
      <w:r w:rsidR="00611731" w:rsidRPr="000A4E0F">
        <w:rPr>
          <w:b/>
          <w:bCs/>
          <w:color w:val="000000"/>
          <w:sz w:val="32"/>
          <w:szCs w:val="32"/>
        </w:rPr>
        <w:t xml:space="preserve"> (СИСТЕМ)</w:t>
      </w:r>
    </w:p>
    <w:p w14:paraId="255C35ED" w14:textId="77777777" w:rsidR="0054305D" w:rsidRDefault="0054305D" w:rsidP="0054305D">
      <w:pPr>
        <w:ind w:firstLine="900"/>
        <w:jc w:val="center"/>
        <w:rPr>
          <w:b/>
          <w:bCs/>
          <w:color w:val="000000"/>
          <w:sz w:val="28"/>
          <w:szCs w:val="28"/>
        </w:rPr>
      </w:pPr>
    </w:p>
    <w:p w14:paraId="5D8D83A9" w14:textId="77777777" w:rsidR="0054305D" w:rsidRDefault="0054305D" w:rsidP="0054305D">
      <w:pPr>
        <w:ind w:firstLine="900"/>
        <w:jc w:val="center"/>
        <w:rPr>
          <w:b/>
          <w:bCs/>
          <w:color w:val="000000"/>
          <w:sz w:val="28"/>
          <w:szCs w:val="28"/>
        </w:rPr>
      </w:pPr>
    </w:p>
    <w:p w14:paraId="1900DDF0" w14:textId="77777777" w:rsidR="0054305D" w:rsidRDefault="0054305D" w:rsidP="0054305D">
      <w:pPr>
        <w:ind w:firstLine="900"/>
        <w:jc w:val="center"/>
        <w:rPr>
          <w:b/>
          <w:bCs/>
          <w:color w:val="000000"/>
          <w:sz w:val="28"/>
          <w:szCs w:val="28"/>
        </w:rPr>
      </w:pPr>
    </w:p>
    <w:p w14:paraId="514EF71C" w14:textId="77777777" w:rsidR="0054305D" w:rsidRDefault="0054305D" w:rsidP="0054305D">
      <w:pPr>
        <w:ind w:firstLine="900"/>
        <w:jc w:val="center"/>
        <w:rPr>
          <w:b/>
          <w:bCs/>
          <w:color w:val="000000"/>
          <w:sz w:val="28"/>
          <w:szCs w:val="28"/>
        </w:rPr>
      </w:pPr>
    </w:p>
    <w:p w14:paraId="5D6ACC7B" w14:textId="77777777" w:rsidR="0054305D" w:rsidRDefault="0054305D" w:rsidP="0054305D">
      <w:pPr>
        <w:ind w:firstLine="900"/>
        <w:jc w:val="center"/>
        <w:rPr>
          <w:b/>
          <w:bCs/>
          <w:color w:val="000000"/>
          <w:sz w:val="28"/>
          <w:szCs w:val="28"/>
        </w:rPr>
      </w:pPr>
    </w:p>
    <w:p w14:paraId="65336652" w14:textId="77777777" w:rsidR="0054305D" w:rsidRDefault="0054305D" w:rsidP="0054305D">
      <w:pPr>
        <w:ind w:firstLine="900"/>
        <w:jc w:val="center"/>
        <w:rPr>
          <w:b/>
          <w:bCs/>
          <w:color w:val="000000"/>
          <w:sz w:val="28"/>
          <w:szCs w:val="28"/>
        </w:rPr>
      </w:pPr>
    </w:p>
    <w:p w14:paraId="7FE9373E" w14:textId="77777777" w:rsidR="0054305D" w:rsidRDefault="0054305D" w:rsidP="0054305D">
      <w:pPr>
        <w:ind w:firstLine="900"/>
        <w:jc w:val="center"/>
        <w:rPr>
          <w:b/>
          <w:bCs/>
          <w:color w:val="000000"/>
          <w:sz w:val="28"/>
          <w:szCs w:val="28"/>
        </w:rPr>
      </w:pPr>
    </w:p>
    <w:p w14:paraId="30F95576" w14:textId="77777777" w:rsidR="0054305D" w:rsidRDefault="0054305D" w:rsidP="0054305D">
      <w:pPr>
        <w:ind w:firstLine="900"/>
        <w:jc w:val="center"/>
        <w:rPr>
          <w:b/>
          <w:bCs/>
          <w:color w:val="000000"/>
          <w:sz w:val="28"/>
          <w:szCs w:val="28"/>
        </w:rPr>
      </w:pPr>
    </w:p>
    <w:p w14:paraId="68506728" w14:textId="77777777" w:rsidR="0054305D" w:rsidRDefault="0054305D" w:rsidP="0054305D">
      <w:pPr>
        <w:ind w:firstLine="900"/>
        <w:jc w:val="center"/>
        <w:rPr>
          <w:b/>
          <w:bCs/>
          <w:color w:val="000000"/>
          <w:sz w:val="28"/>
          <w:szCs w:val="28"/>
        </w:rPr>
      </w:pPr>
    </w:p>
    <w:p w14:paraId="6F925AD2" w14:textId="77777777" w:rsidR="0054305D" w:rsidRDefault="0054305D" w:rsidP="0054305D">
      <w:pPr>
        <w:ind w:firstLine="900"/>
        <w:jc w:val="center"/>
        <w:rPr>
          <w:b/>
          <w:bCs/>
          <w:color w:val="000000"/>
          <w:sz w:val="28"/>
          <w:szCs w:val="28"/>
        </w:rPr>
      </w:pPr>
    </w:p>
    <w:p w14:paraId="5CB31CB4" w14:textId="77777777" w:rsidR="0054305D" w:rsidRDefault="0054305D" w:rsidP="0054305D">
      <w:pPr>
        <w:ind w:firstLine="900"/>
        <w:jc w:val="center"/>
        <w:rPr>
          <w:b/>
          <w:bCs/>
          <w:color w:val="000000"/>
          <w:sz w:val="28"/>
          <w:szCs w:val="28"/>
        </w:rPr>
      </w:pPr>
    </w:p>
    <w:p w14:paraId="5E610D51" w14:textId="77777777" w:rsidR="0054305D" w:rsidRDefault="0054305D" w:rsidP="0054305D">
      <w:pPr>
        <w:ind w:firstLine="900"/>
        <w:jc w:val="center"/>
        <w:rPr>
          <w:b/>
          <w:bCs/>
          <w:color w:val="000000"/>
          <w:sz w:val="28"/>
          <w:szCs w:val="28"/>
        </w:rPr>
      </w:pPr>
    </w:p>
    <w:p w14:paraId="4C48B3CB" w14:textId="77777777" w:rsidR="0054305D" w:rsidRDefault="0054305D" w:rsidP="0054305D">
      <w:pPr>
        <w:ind w:firstLine="900"/>
        <w:jc w:val="center"/>
        <w:rPr>
          <w:b/>
          <w:bCs/>
          <w:color w:val="000000"/>
          <w:sz w:val="28"/>
          <w:szCs w:val="28"/>
        </w:rPr>
      </w:pPr>
    </w:p>
    <w:p w14:paraId="1C2644A5" w14:textId="77777777" w:rsidR="0054305D" w:rsidRDefault="0054305D" w:rsidP="0054305D">
      <w:pPr>
        <w:ind w:firstLine="900"/>
        <w:jc w:val="center"/>
        <w:rPr>
          <w:b/>
          <w:bCs/>
          <w:color w:val="000000"/>
          <w:sz w:val="28"/>
          <w:szCs w:val="28"/>
        </w:rPr>
      </w:pPr>
    </w:p>
    <w:p w14:paraId="032435E0" w14:textId="77777777" w:rsidR="0054305D" w:rsidRDefault="0054305D" w:rsidP="0054305D">
      <w:pPr>
        <w:ind w:firstLine="900"/>
        <w:jc w:val="center"/>
        <w:rPr>
          <w:b/>
          <w:bCs/>
          <w:color w:val="000000"/>
          <w:sz w:val="28"/>
          <w:szCs w:val="28"/>
        </w:rPr>
      </w:pPr>
    </w:p>
    <w:p w14:paraId="1F33943D" w14:textId="77777777" w:rsidR="0054305D" w:rsidRDefault="0054305D" w:rsidP="0054305D">
      <w:pPr>
        <w:ind w:firstLine="900"/>
        <w:jc w:val="center"/>
        <w:rPr>
          <w:b/>
          <w:bCs/>
          <w:color w:val="000000"/>
          <w:sz w:val="28"/>
          <w:szCs w:val="28"/>
        </w:rPr>
      </w:pPr>
    </w:p>
    <w:p w14:paraId="18CAB50B" w14:textId="77777777" w:rsidR="0054305D" w:rsidRDefault="0054305D" w:rsidP="0054305D">
      <w:pPr>
        <w:ind w:firstLine="900"/>
        <w:jc w:val="center"/>
        <w:rPr>
          <w:b/>
          <w:bCs/>
          <w:color w:val="000000"/>
          <w:sz w:val="28"/>
          <w:szCs w:val="28"/>
        </w:rPr>
      </w:pPr>
    </w:p>
    <w:p w14:paraId="3390190D" w14:textId="77777777" w:rsidR="0054305D" w:rsidRDefault="0054305D" w:rsidP="0054305D">
      <w:pPr>
        <w:ind w:firstLine="900"/>
        <w:jc w:val="center"/>
        <w:rPr>
          <w:b/>
          <w:bCs/>
          <w:color w:val="000000"/>
          <w:sz w:val="28"/>
          <w:szCs w:val="28"/>
        </w:rPr>
      </w:pPr>
      <w:r>
        <w:rPr>
          <w:b/>
          <w:bCs/>
          <w:color w:val="000000"/>
          <w:sz w:val="28"/>
          <w:szCs w:val="28"/>
        </w:rPr>
        <w:t>МОСКВА</w:t>
      </w:r>
    </w:p>
    <w:p w14:paraId="3A1DC816" w14:textId="77777777" w:rsidR="0054305D" w:rsidRDefault="0054305D" w:rsidP="0054305D">
      <w:pPr>
        <w:ind w:firstLine="900"/>
        <w:jc w:val="center"/>
        <w:rPr>
          <w:b/>
          <w:bCs/>
          <w:color w:val="000000"/>
          <w:sz w:val="28"/>
          <w:szCs w:val="28"/>
        </w:rPr>
      </w:pPr>
      <w:r>
        <w:rPr>
          <w:b/>
          <w:bCs/>
          <w:color w:val="000000"/>
          <w:sz w:val="28"/>
          <w:szCs w:val="28"/>
        </w:rPr>
        <w:t>2018</w:t>
      </w:r>
      <w:bookmarkStart w:id="0" w:name="_GoBack"/>
      <w:bookmarkEnd w:id="0"/>
    </w:p>
    <w:sdt>
      <w:sdtPr>
        <w:rPr>
          <w:rFonts w:ascii="Times New Roman" w:eastAsia="Times New Roman" w:hAnsi="Times New Roman" w:cs="Times New Roman"/>
          <w:color w:val="auto"/>
          <w:sz w:val="24"/>
          <w:szCs w:val="24"/>
        </w:rPr>
        <w:id w:val="1889982381"/>
        <w:docPartObj>
          <w:docPartGallery w:val="Table of Contents"/>
          <w:docPartUnique/>
        </w:docPartObj>
      </w:sdtPr>
      <w:sdtEndPr>
        <w:rPr>
          <w:bCs/>
        </w:rPr>
      </w:sdtEndPr>
      <w:sdtContent>
        <w:p w14:paraId="02F4DA53" w14:textId="278BC6B8" w:rsidR="00647628" w:rsidRDefault="00647628">
          <w:pPr>
            <w:pStyle w:val="af3"/>
          </w:pPr>
          <w:r>
            <w:t>Оглавление</w:t>
          </w:r>
        </w:p>
        <w:p w14:paraId="682A7103" w14:textId="77777777" w:rsidR="00647628" w:rsidRPr="00647628" w:rsidRDefault="00647628">
          <w:pPr>
            <w:pStyle w:val="12"/>
            <w:tabs>
              <w:tab w:val="right" w:leader="dot" w:pos="9911"/>
            </w:tabs>
            <w:rPr>
              <w:rFonts w:asciiTheme="minorHAnsi" w:eastAsiaTheme="minorEastAsia" w:hAnsiTheme="minorHAnsi" w:cstheme="minorBidi"/>
              <w:noProof/>
              <w:sz w:val="22"/>
              <w:szCs w:val="22"/>
            </w:rPr>
          </w:pPr>
          <w:r w:rsidRPr="00647628">
            <w:fldChar w:fldCharType="begin"/>
          </w:r>
          <w:r w:rsidRPr="00647628">
            <w:instrText xml:space="preserve"> TOC \o "1-3" \h \z \u </w:instrText>
          </w:r>
          <w:r w:rsidRPr="00647628">
            <w:fldChar w:fldCharType="separate"/>
          </w:r>
          <w:hyperlink w:anchor="_Toc522003959" w:history="1">
            <w:r w:rsidRPr="00647628">
              <w:rPr>
                <w:rStyle w:val="af4"/>
                <w:noProof/>
                <w:lang w:val="en-US"/>
              </w:rPr>
              <w:t>I</w:t>
            </w:r>
            <w:r w:rsidRPr="00647628">
              <w:rPr>
                <w:rStyle w:val="af4"/>
                <w:noProof/>
              </w:rPr>
              <w:t>. Общие положения</w:t>
            </w:r>
            <w:r w:rsidRPr="00647628">
              <w:rPr>
                <w:noProof/>
                <w:webHidden/>
              </w:rPr>
              <w:tab/>
            </w:r>
            <w:r w:rsidRPr="00647628">
              <w:rPr>
                <w:noProof/>
                <w:webHidden/>
              </w:rPr>
              <w:fldChar w:fldCharType="begin"/>
            </w:r>
            <w:r w:rsidRPr="00647628">
              <w:rPr>
                <w:noProof/>
                <w:webHidden/>
              </w:rPr>
              <w:instrText xml:space="preserve"> PAGEREF _Toc522003959 \h </w:instrText>
            </w:r>
            <w:r w:rsidRPr="00647628">
              <w:rPr>
                <w:noProof/>
                <w:webHidden/>
              </w:rPr>
            </w:r>
            <w:r w:rsidRPr="00647628">
              <w:rPr>
                <w:noProof/>
                <w:webHidden/>
              </w:rPr>
              <w:fldChar w:fldCharType="separate"/>
            </w:r>
            <w:r>
              <w:rPr>
                <w:noProof/>
                <w:webHidden/>
              </w:rPr>
              <w:t>3</w:t>
            </w:r>
            <w:r w:rsidRPr="00647628">
              <w:rPr>
                <w:noProof/>
                <w:webHidden/>
              </w:rPr>
              <w:fldChar w:fldCharType="end"/>
            </w:r>
          </w:hyperlink>
        </w:p>
        <w:p w14:paraId="3F3E5E5A" w14:textId="77777777" w:rsidR="00647628" w:rsidRPr="00647628" w:rsidRDefault="00362834">
          <w:pPr>
            <w:pStyle w:val="12"/>
            <w:tabs>
              <w:tab w:val="right" w:leader="dot" w:pos="9911"/>
            </w:tabs>
            <w:rPr>
              <w:rFonts w:asciiTheme="minorHAnsi" w:eastAsiaTheme="minorEastAsia" w:hAnsiTheme="minorHAnsi" w:cstheme="minorBidi"/>
              <w:noProof/>
              <w:sz w:val="22"/>
              <w:szCs w:val="22"/>
            </w:rPr>
          </w:pPr>
          <w:hyperlink w:anchor="_Toc522003960" w:history="1">
            <w:r w:rsidR="00647628" w:rsidRPr="00647628">
              <w:rPr>
                <w:rStyle w:val="af4"/>
                <w:noProof/>
              </w:rPr>
              <w:t>II. Определение временного интервала исследования товарного рынка</w:t>
            </w:r>
            <w:r w:rsidR="00647628" w:rsidRPr="00647628">
              <w:rPr>
                <w:noProof/>
                <w:webHidden/>
              </w:rPr>
              <w:tab/>
            </w:r>
            <w:r w:rsidR="00647628" w:rsidRPr="00647628">
              <w:rPr>
                <w:noProof/>
                <w:webHidden/>
              </w:rPr>
              <w:fldChar w:fldCharType="begin"/>
            </w:r>
            <w:r w:rsidR="00647628" w:rsidRPr="00647628">
              <w:rPr>
                <w:noProof/>
                <w:webHidden/>
              </w:rPr>
              <w:instrText xml:space="preserve"> PAGEREF _Toc522003960 \h </w:instrText>
            </w:r>
            <w:r w:rsidR="00647628" w:rsidRPr="00647628">
              <w:rPr>
                <w:noProof/>
                <w:webHidden/>
              </w:rPr>
            </w:r>
            <w:r w:rsidR="00647628" w:rsidRPr="00647628">
              <w:rPr>
                <w:noProof/>
                <w:webHidden/>
              </w:rPr>
              <w:fldChar w:fldCharType="separate"/>
            </w:r>
            <w:r w:rsidR="00647628">
              <w:rPr>
                <w:noProof/>
                <w:webHidden/>
              </w:rPr>
              <w:t>3</w:t>
            </w:r>
            <w:r w:rsidR="00647628" w:rsidRPr="00647628">
              <w:rPr>
                <w:noProof/>
                <w:webHidden/>
              </w:rPr>
              <w:fldChar w:fldCharType="end"/>
            </w:r>
          </w:hyperlink>
        </w:p>
        <w:p w14:paraId="56B66980" w14:textId="77777777" w:rsidR="00647628" w:rsidRPr="00647628" w:rsidRDefault="00362834">
          <w:pPr>
            <w:pStyle w:val="12"/>
            <w:tabs>
              <w:tab w:val="right" w:leader="dot" w:pos="9911"/>
            </w:tabs>
            <w:rPr>
              <w:rFonts w:asciiTheme="minorHAnsi" w:eastAsiaTheme="minorEastAsia" w:hAnsiTheme="minorHAnsi" w:cstheme="minorBidi"/>
              <w:noProof/>
              <w:sz w:val="22"/>
              <w:szCs w:val="22"/>
            </w:rPr>
          </w:pPr>
          <w:hyperlink w:anchor="_Toc522003961" w:history="1">
            <w:r w:rsidR="00647628" w:rsidRPr="00647628">
              <w:rPr>
                <w:rStyle w:val="af4"/>
                <w:noProof/>
                <w:lang w:val="en-US"/>
              </w:rPr>
              <w:t>III</w:t>
            </w:r>
            <w:r w:rsidR="00647628" w:rsidRPr="00647628">
              <w:rPr>
                <w:rStyle w:val="af4"/>
                <w:noProof/>
              </w:rPr>
              <w:t>. Определение продуктовых границ товарного рынка</w:t>
            </w:r>
            <w:r w:rsidR="00647628" w:rsidRPr="00647628">
              <w:rPr>
                <w:noProof/>
                <w:webHidden/>
              </w:rPr>
              <w:tab/>
            </w:r>
            <w:r w:rsidR="00647628" w:rsidRPr="00647628">
              <w:rPr>
                <w:noProof/>
                <w:webHidden/>
              </w:rPr>
              <w:fldChar w:fldCharType="begin"/>
            </w:r>
            <w:r w:rsidR="00647628" w:rsidRPr="00647628">
              <w:rPr>
                <w:noProof/>
                <w:webHidden/>
              </w:rPr>
              <w:instrText xml:space="preserve"> PAGEREF _Toc522003961 \h </w:instrText>
            </w:r>
            <w:r w:rsidR="00647628" w:rsidRPr="00647628">
              <w:rPr>
                <w:noProof/>
                <w:webHidden/>
              </w:rPr>
            </w:r>
            <w:r w:rsidR="00647628" w:rsidRPr="00647628">
              <w:rPr>
                <w:noProof/>
                <w:webHidden/>
              </w:rPr>
              <w:fldChar w:fldCharType="separate"/>
            </w:r>
            <w:r w:rsidR="00647628">
              <w:rPr>
                <w:noProof/>
                <w:webHidden/>
              </w:rPr>
              <w:t>3</w:t>
            </w:r>
            <w:r w:rsidR="00647628" w:rsidRPr="00647628">
              <w:rPr>
                <w:noProof/>
                <w:webHidden/>
              </w:rPr>
              <w:fldChar w:fldCharType="end"/>
            </w:r>
          </w:hyperlink>
        </w:p>
        <w:p w14:paraId="2EFA464B" w14:textId="77777777" w:rsidR="00647628" w:rsidRPr="00647628" w:rsidRDefault="00362834">
          <w:pPr>
            <w:pStyle w:val="12"/>
            <w:tabs>
              <w:tab w:val="right" w:leader="dot" w:pos="9911"/>
            </w:tabs>
            <w:rPr>
              <w:rFonts w:asciiTheme="minorHAnsi" w:eastAsiaTheme="minorEastAsia" w:hAnsiTheme="minorHAnsi" w:cstheme="minorBidi"/>
              <w:noProof/>
              <w:sz w:val="22"/>
              <w:szCs w:val="22"/>
            </w:rPr>
          </w:pPr>
          <w:hyperlink w:anchor="_Toc522003962" w:history="1">
            <w:r w:rsidR="00647628" w:rsidRPr="00647628">
              <w:rPr>
                <w:rStyle w:val="af4"/>
                <w:noProof/>
                <w:lang w:val="en-US"/>
              </w:rPr>
              <w:t>IV</w:t>
            </w:r>
            <w:r w:rsidR="00647628" w:rsidRPr="00647628">
              <w:rPr>
                <w:rStyle w:val="af4"/>
                <w:noProof/>
              </w:rPr>
              <w:t>. Определение географических границ товарного рынка</w:t>
            </w:r>
            <w:r w:rsidR="00647628" w:rsidRPr="00647628">
              <w:rPr>
                <w:noProof/>
                <w:webHidden/>
              </w:rPr>
              <w:tab/>
            </w:r>
            <w:r w:rsidR="00647628" w:rsidRPr="00647628">
              <w:rPr>
                <w:noProof/>
                <w:webHidden/>
              </w:rPr>
              <w:fldChar w:fldCharType="begin"/>
            </w:r>
            <w:r w:rsidR="00647628" w:rsidRPr="00647628">
              <w:rPr>
                <w:noProof/>
                <w:webHidden/>
              </w:rPr>
              <w:instrText xml:space="preserve"> PAGEREF _Toc522003962 \h </w:instrText>
            </w:r>
            <w:r w:rsidR="00647628" w:rsidRPr="00647628">
              <w:rPr>
                <w:noProof/>
                <w:webHidden/>
              </w:rPr>
            </w:r>
            <w:r w:rsidR="00647628" w:rsidRPr="00647628">
              <w:rPr>
                <w:noProof/>
                <w:webHidden/>
              </w:rPr>
              <w:fldChar w:fldCharType="separate"/>
            </w:r>
            <w:r w:rsidR="00647628">
              <w:rPr>
                <w:noProof/>
                <w:webHidden/>
              </w:rPr>
              <w:t>7</w:t>
            </w:r>
            <w:r w:rsidR="00647628" w:rsidRPr="00647628">
              <w:rPr>
                <w:noProof/>
                <w:webHidden/>
              </w:rPr>
              <w:fldChar w:fldCharType="end"/>
            </w:r>
          </w:hyperlink>
        </w:p>
        <w:p w14:paraId="52676936" w14:textId="77777777" w:rsidR="00647628" w:rsidRPr="00647628" w:rsidRDefault="00362834">
          <w:pPr>
            <w:pStyle w:val="12"/>
            <w:tabs>
              <w:tab w:val="right" w:leader="dot" w:pos="9911"/>
            </w:tabs>
            <w:rPr>
              <w:rFonts w:asciiTheme="minorHAnsi" w:eastAsiaTheme="minorEastAsia" w:hAnsiTheme="minorHAnsi" w:cstheme="minorBidi"/>
              <w:noProof/>
              <w:sz w:val="22"/>
              <w:szCs w:val="22"/>
            </w:rPr>
          </w:pPr>
          <w:hyperlink w:anchor="_Toc522003963" w:history="1">
            <w:r w:rsidR="00647628" w:rsidRPr="00647628">
              <w:rPr>
                <w:rStyle w:val="af4"/>
                <w:noProof/>
                <w:lang w:val="en-US"/>
              </w:rPr>
              <w:t>V</w:t>
            </w:r>
            <w:r w:rsidR="00647628" w:rsidRPr="00647628">
              <w:rPr>
                <w:rStyle w:val="af4"/>
                <w:noProof/>
              </w:rPr>
              <w:t>. Определение состава хозяйствующих субъектов, действующих на товарном рынке</w:t>
            </w:r>
            <w:r w:rsidR="00647628" w:rsidRPr="00647628">
              <w:rPr>
                <w:noProof/>
                <w:webHidden/>
              </w:rPr>
              <w:tab/>
            </w:r>
            <w:r w:rsidR="00647628" w:rsidRPr="00647628">
              <w:rPr>
                <w:noProof/>
                <w:webHidden/>
              </w:rPr>
              <w:fldChar w:fldCharType="begin"/>
            </w:r>
            <w:r w:rsidR="00647628" w:rsidRPr="00647628">
              <w:rPr>
                <w:noProof/>
                <w:webHidden/>
              </w:rPr>
              <w:instrText xml:space="preserve"> PAGEREF _Toc522003963 \h </w:instrText>
            </w:r>
            <w:r w:rsidR="00647628" w:rsidRPr="00647628">
              <w:rPr>
                <w:noProof/>
                <w:webHidden/>
              </w:rPr>
            </w:r>
            <w:r w:rsidR="00647628" w:rsidRPr="00647628">
              <w:rPr>
                <w:noProof/>
                <w:webHidden/>
              </w:rPr>
              <w:fldChar w:fldCharType="separate"/>
            </w:r>
            <w:r w:rsidR="00647628">
              <w:rPr>
                <w:noProof/>
                <w:webHidden/>
              </w:rPr>
              <w:t>9</w:t>
            </w:r>
            <w:r w:rsidR="00647628" w:rsidRPr="00647628">
              <w:rPr>
                <w:noProof/>
                <w:webHidden/>
              </w:rPr>
              <w:fldChar w:fldCharType="end"/>
            </w:r>
          </w:hyperlink>
        </w:p>
        <w:p w14:paraId="643C1EC5" w14:textId="77777777" w:rsidR="00647628" w:rsidRPr="00647628" w:rsidRDefault="00362834">
          <w:pPr>
            <w:pStyle w:val="12"/>
            <w:tabs>
              <w:tab w:val="right" w:leader="dot" w:pos="9911"/>
            </w:tabs>
            <w:rPr>
              <w:rFonts w:asciiTheme="minorHAnsi" w:eastAsiaTheme="minorEastAsia" w:hAnsiTheme="minorHAnsi" w:cstheme="minorBidi"/>
              <w:noProof/>
              <w:sz w:val="22"/>
              <w:szCs w:val="22"/>
            </w:rPr>
          </w:pPr>
          <w:hyperlink w:anchor="_Toc522003964" w:history="1">
            <w:r w:rsidR="00647628" w:rsidRPr="00647628">
              <w:rPr>
                <w:rStyle w:val="af4"/>
                <w:noProof/>
                <w:lang w:val="en-US"/>
              </w:rPr>
              <w:t>VI</w:t>
            </w:r>
            <w:r w:rsidR="00647628" w:rsidRPr="00647628">
              <w:rPr>
                <w:rStyle w:val="af4"/>
                <w:noProof/>
              </w:rPr>
              <w:t>. Расчет объема товарного рынка и долей хозяйствующих субъектов на рынке</w:t>
            </w:r>
            <w:r w:rsidR="00647628" w:rsidRPr="00647628">
              <w:rPr>
                <w:noProof/>
                <w:webHidden/>
              </w:rPr>
              <w:tab/>
            </w:r>
            <w:r w:rsidR="00647628" w:rsidRPr="00647628">
              <w:rPr>
                <w:noProof/>
                <w:webHidden/>
              </w:rPr>
              <w:fldChar w:fldCharType="begin"/>
            </w:r>
            <w:r w:rsidR="00647628" w:rsidRPr="00647628">
              <w:rPr>
                <w:noProof/>
                <w:webHidden/>
              </w:rPr>
              <w:instrText xml:space="preserve"> PAGEREF _Toc522003964 \h </w:instrText>
            </w:r>
            <w:r w:rsidR="00647628" w:rsidRPr="00647628">
              <w:rPr>
                <w:noProof/>
                <w:webHidden/>
              </w:rPr>
            </w:r>
            <w:r w:rsidR="00647628" w:rsidRPr="00647628">
              <w:rPr>
                <w:noProof/>
                <w:webHidden/>
              </w:rPr>
              <w:fldChar w:fldCharType="separate"/>
            </w:r>
            <w:r w:rsidR="00647628">
              <w:rPr>
                <w:noProof/>
                <w:webHidden/>
              </w:rPr>
              <w:t>11</w:t>
            </w:r>
            <w:r w:rsidR="00647628" w:rsidRPr="00647628">
              <w:rPr>
                <w:noProof/>
                <w:webHidden/>
              </w:rPr>
              <w:fldChar w:fldCharType="end"/>
            </w:r>
          </w:hyperlink>
        </w:p>
        <w:p w14:paraId="39AE1629" w14:textId="77777777" w:rsidR="00647628" w:rsidRPr="00647628" w:rsidRDefault="00362834">
          <w:pPr>
            <w:pStyle w:val="12"/>
            <w:tabs>
              <w:tab w:val="right" w:leader="dot" w:pos="9911"/>
            </w:tabs>
            <w:rPr>
              <w:rFonts w:asciiTheme="minorHAnsi" w:eastAsiaTheme="minorEastAsia" w:hAnsiTheme="minorHAnsi" w:cstheme="minorBidi"/>
              <w:noProof/>
              <w:sz w:val="22"/>
              <w:szCs w:val="22"/>
            </w:rPr>
          </w:pPr>
          <w:hyperlink w:anchor="_Toc522004033" w:history="1">
            <w:r w:rsidR="00647628" w:rsidRPr="00647628">
              <w:rPr>
                <w:rStyle w:val="af4"/>
                <w:noProof/>
                <w:lang w:val="en-US"/>
              </w:rPr>
              <w:t>VII</w:t>
            </w:r>
            <w:r w:rsidR="00647628" w:rsidRPr="00647628">
              <w:rPr>
                <w:rStyle w:val="af4"/>
                <w:noProof/>
              </w:rPr>
              <w:t>. Определение уровня концентрации товарного рынка</w:t>
            </w:r>
            <w:r w:rsidR="00647628" w:rsidRPr="00647628">
              <w:rPr>
                <w:noProof/>
                <w:webHidden/>
              </w:rPr>
              <w:tab/>
            </w:r>
            <w:r w:rsidR="00647628" w:rsidRPr="00647628">
              <w:rPr>
                <w:noProof/>
                <w:webHidden/>
              </w:rPr>
              <w:fldChar w:fldCharType="begin"/>
            </w:r>
            <w:r w:rsidR="00647628" w:rsidRPr="00647628">
              <w:rPr>
                <w:noProof/>
                <w:webHidden/>
              </w:rPr>
              <w:instrText xml:space="preserve"> PAGEREF _Toc522004033 \h </w:instrText>
            </w:r>
            <w:r w:rsidR="00647628" w:rsidRPr="00647628">
              <w:rPr>
                <w:noProof/>
                <w:webHidden/>
              </w:rPr>
            </w:r>
            <w:r w:rsidR="00647628" w:rsidRPr="00647628">
              <w:rPr>
                <w:noProof/>
                <w:webHidden/>
              </w:rPr>
              <w:fldChar w:fldCharType="separate"/>
            </w:r>
            <w:r w:rsidR="00647628">
              <w:rPr>
                <w:noProof/>
                <w:webHidden/>
              </w:rPr>
              <w:t>12</w:t>
            </w:r>
            <w:r w:rsidR="00647628" w:rsidRPr="00647628">
              <w:rPr>
                <w:noProof/>
                <w:webHidden/>
              </w:rPr>
              <w:fldChar w:fldCharType="end"/>
            </w:r>
          </w:hyperlink>
        </w:p>
        <w:p w14:paraId="669508CC" w14:textId="77777777" w:rsidR="00647628" w:rsidRPr="00647628" w:rsidRDefault="00362834">
          <w:pPr>
            <w:pStyle w:val="12"/>
            <w:tabs>
              <w:tab w:val="right" w:leader="dot" w:pos="9911"/>
            </w:tabs>
            <w:rPr>
              <w:rFonts w:asciiTheme="minorHAnsi" w:eastAsiaTheme="minorEastAsia" w:hAnsiTheme="minorHAnsi" w:cstheme="minorBidi"/>
              <w:noProof/>
              <w:sz w:val="22"/>
              <w:szCs w:val="22"/>
            </w:rPr>
          </w:pPr>
          <w:hyperlink w:anchor="_Toc522004034" w:history="1">
            <w:r w:rsidR="00647628" w:rsidRPr="00647628">
              <w:rPr>
                <w:rStyle w:val="af4"/>
                <w:noProof/>
                <w:lang w:val="en-US"/>
              </w:rPr>
              <w:t>VIII</w:t>
            </w:r>
            <w:r w:rsidR="00647628" w:rsidRPr="00647628">
              <w:rPr>
                <w:rStyle w:val="af4"/>
                <w:noProof/>
              </w:rPr>
              <w:t>. Определение барьеров входа на товарный рынок</w:t>
            </w:r>
            <w:r w:rsidR="00647628" w:rsidRPr="00647628">
              <w:rPr>
                <w:noProof/>
                <w:webHidden/>
              </w:rPr>
              <w:tab/>
            </w:r>
            <w:r w:rsidR="00647628" w:rsidRPr="00647628">
              <w:rPr>
                <w:noProof/>
                <w:webHidden/>
              </w:rPr>
              <w:fldChar w:fldCharType="begin"/>
            </w:r>
            <w:r w:rsidR="00647628" w:rsidRPr="00647628">
              <w:rPr>
                <w:noProof/>
                <w:webHidden/>
              </w:rPr>
              <w:instrText xml:space="preserve"> PAGEREF _Toc522004034 \h </w:instrText>
            </w:r>
            <w:r w:rsidR="00647628" w:rsidRPr="00647628">
              <w:rPr>
                <w:noProof/>
                <w:webHidden/>
              </w:rPr>
            </w:r>
            <w:r w:rsidR="00647628" w:rsidRPr="00647628">
              <w:rPr>
                <w:noProof/>
                <w:webHidden/>
              </w:rPr>
              <w:fldChar w:fldCharType="separate"/>
            </w:r>
            <w:r w:rsidR="00647628">
              <w:rPr>
                <w:noProof/>
                <w:webHidden/>
              </w:rPr>
              <w:t>13</w:t>
            </w:r>
            <w:r w:rsidR="00647628" w:rsidRPr="00647628">
              <w:rPr>
                <w:noProof/>
                <w:webHidden/>
              </w:rPr>
              <w:fldChar w:fldCharType="end"/>
            </w:r>
          </w:hyperlink>
        </w:p>
        <w:p w14:paraId="7E7F5525" w14:textId="77777777" w:rsidR="00647628" w:rsidRPr="00647628" w:rsidRDefault="00362834">
          <w:pPr>
            <w:pStyle w:val="12"/>
            <w:tabs>
              <w:tab w:val="right" w:leader="dot" w:pos="9911"/>
            </w:tabs>
            <w:rPr>
              <w:rFonts w:asciiTheme="minorHAnsi" w:eastAsiaTheme="minorEastAsia" w:hAnsiTheme="minorHAnsi" w:cstheme="minorBidi"/>
              <w:noProof/>
              <w:sz w:val="22"/>
              <w:szCs w:val="22"/>
            </w:rPr>
          </w:pPr>
          <w:hyperlink w:anchor="_Toc522004035" w:history="1">
            <w:r w:rsidR="00647628" w:rsidRPr="00647628">
              <w:rPr>
                <w:rStyle w:val="af4"/>
                <w:noProof/>
                <w:lang w:val="en-US"/>
              </w:rPr>
              <w:t>IX</w:t>
            </w:r>
            <w:r w:rsidR="00647628" w:rsidRPr="00647628">
              <w:rPr>
                <w:rStyle w:val="af4"/>
                <w:noProof/>
              </w:rPr>
              <w:t>. Установление доминирующего положения хозяйствующего субъекта (хозяйствующих субъектов) на товарном рынке</w:t>
            </w:r>
            <w:r w:rsidR="00647628" w:rsidRPr="00647628">
              <w:rPr>
                <w:noProof/>
                <w:webHidden/>
              </w:rPr>
              <w:tab/>
            </w:r>
            <w:r w:rsidR="00647628" w:rsidRPr="00647628">
              <w:rPr>
                <w:noProof/>
                <w:webHidden/>
              </w:rPr>
              <w:fldChar w:fldCharType="begin"/>
            </w:r>
            <w:r w:rsidR="00647628" w:rsidRPr="00647628">
              <w:rPr>
                <w:noProof/>
                <w:webHidden/>
              </w:rPr>
              <w:instrText xml:space="preserve"> PAGEREF _Toc522004035 \h </w:instrText>
            </w:r>
            <w:r w:rsidR="00647628" w:rsidRPr="00647628">
              <w:rPr>
                <w:noProof/>
                <w:webHidden/>
              </w:rPr>
            </w:r>
            <w:r w:rsidR="00647628" w:rsidRPr="00647628">
              <w:rPr>
                <w:noProof/>
                <w:webHidden/>
              </w:rPr>
              <w:fldChar w:fldCharType="separate"/>
            </w:r>
            <w:r w:rsidR="00647628">
              <w:rPr>
                <w:noProof/>
                <w:webHidden/>
              </w:rPr>
              <w:t>14</w:t>
            </w:r>
            <w:r w:rsidR="00647628" w:rsidRPr="00647628">
              <w:rPr>
                <w:noProof/>
                <w:webHidden/>
              </w:rPr>
              <w:fldChar w:fldCharType="end"/>
            </w:r>
          </w:hyperlink>
        </w:p>
        <w:p w14:paraId="75F260E1" w14:textId="77777777" w:rsidR="00647628" w:rsidRPr="00647628" w:rsidRDefault="00362834">
          <w:pPr>
            <w:pStyle w:val="12"/>
            <w:tabs>
              <w:tab w:val="right" w:leader="dot" w:pos="9911"/>
            </w:tabs>
            <w:rPr>
              <w:rFonts w:asciiTheme="minorHAnsi" w:eastAsiaTheme="minorEastAsia" w:hAnsiTheme="minorHAnsi" w:cstheme="minorBidi"/>
              <w:noProof/>
              <w:sz w:val="22"/>
              <w:szCs w:val="22"/>
            </w:rPr>
          </w:pPr>
          <w:hyperlink w:anchor="_Toc522004036" w:history="1">
            <w:r w:rsidR="00647628" w:rsidRPr="00647628">
              <w:rPr>
                <w:rStyle w:val="af4"/>
                <w:noProof/>
                <w:lang w:val="en-US"/>
              </w:rPr>
              <w:t>X</w:t>
            </w:r>
            <w:r w:rsidR="00647628" w:rsidRPr="00647628">
              <w:rPr>
                <w:rStyle w:val="af4"/>
                <w:noProof/>
              </w:rPr>
              <w:t>. Оценка состояния конкуренции на товарном рынке</w:t>
            </w:r>
            <w:r w:rsidR="00647628" w:rsidRPr="00647628">
              <w:rPr>
                <w:noProof/>
                <w:webHidden/>
              </w:rPr>
              <w:tab/>
            </w:r>
            <w:r w:rsidR="00647628" w:rsidRPr="00647628">
              <w:rPr>
                <w:noProof/>
                <w:webHidden/>
              </w:rPr>
              <w:fldChar w:fldCharType="begin"/>
            </w:r>
            <w:r w:rsidR="00647628" w:rsidRPr="00647628">
              <w:rPr>
                <w:noProof/>
                <w:webHidden/>
              </w:rPr>
              <w:instrText xml:space="preserve"> PAGEREF _Toc522004036 \h </w:instrText>
            </w:r>
            <w:r w:rsidR="00647628" w:rsidRPr="00647628">
              <w:rPr>
                <w:noProof/>
                <w:webHidden/>
              </w:rPr>
            </w:r>
            <w:r w:rsidR="00647628" w:rsidRPr="00647628">
              <w:rPr>
                <w:noProof/>
                <w:webHidden/>
              </w:rPr>
              <w:fldChar w:fldCharType="separate"/>
            </w:r>
            <w:r w:rsidR="00647628">
              <w:rPr>
                <w:noProof/>
                <w:webHidden/>
              </w:rPr>
              <w:t>15</w:t>
            </w:r>
            <w:r w:rsidR="00647628" w:rsidRPr="00647628">
              <w:rPr>
                <w:noProof/>
                <w:webHidden/>
              </w:rPr>
              <w:fldChar w:fldCharType="end"/>
            </w:r>
          </w:hyperlink>
        </w:p>
        <w:p w14:paraId="6E7B7C11" w14:textId="77777777" w:rsidR="00647628" w:rsidRPr="00647628" w:rsidRDefault="00362834">
          <w:pPr>
            <w:pStyle w:val="12"/>
            <w:tabs>
              <w:tab w:val="right" w:leader="dot" w:pos="9911"/>
            </w:tabs>
            <w:rPr>
              <w:rFonts w:asciiTheme="minorHAnsi" w:eastAsiaTheme="minorEastAsia" w:hAnsiTheme="minorHAnsi" w:cstheme="minorBidi"/>
              <w:noProof/>
              <w:sz w:val="22"/>
              <w:szCs w:val="22"/>
            </w:rPr>
          </w:pPr>
          <w:hyperlink w:anchor="_Toc522004037" w:history="1">
            <w:r w:rsidR="00647628" w:rsidRPr="00647628">
              <w:rPr>
                <w:rStyle w:val="af4"/>
                <w:noProof/>
                <w:lang w:val="en-US"/>
              </w:rPr>
              <w:t>XI</w:t>
            </w:r>
            <w:r w:rsidR="00647628" w:rsidRPr="00647628">
              <w:rPr>
                <w:rStyle w:val="af4"/>
                <w:noProof/>
              </w:rPr>
              <w:t>. Перечень документов, использованных для определения характеристик рассматриваемого товарного рынка</w:t>
            </w:r>
            <w:r w:rsidR="00647628" w:rsidRPr="00647628">
              <w:rPr>
                <w:noProof/>
                <w:webHidden/>
              </w:rPr>
              <w:tab/>
            </w:r>
            <w:r w:rsidR="00647628" w:rsidRPr="00647628">
              <w:rPr>
                <w:noProof/>
                <w:webHidden/>
              </w:rPr>
              <w:fldChar w:fldCharType="begin"/>
            </w:r>
            <w:r w:rsidR="00647628" w:rsidRPr="00647628">
              <w:rPr>
                <w:noProof/>
                <w:webHidden/>
              </w:rPr>
              <w:instrText xml:space="preserve"> PAGEREF _Toc522004037 \h </w:instrText>
            </w:r>
            <w:r w:rsidR="00647628" w:rsidRPr="00647628">
              <w:rPr>
                <w:noProof/>
                <w:webHidden/>
              </w:rPr>
            </w:r>
            <w:r w:rsidR="00647628" w:rsidRPr="00647628">
              <w:rPr>
                <w:noProof/>
                <w:webHidden/>
              </w:rPr>
              <w:fldChar w:fldCharType="separate"/>
            </w:r>
            <w:r w:rsidR="00647628">
              <w:rPr>
                <w:noProof/>
                <w:webHidden/>
              </w:rPr>
              <w:t>16</w:t>
            </w:r>
            <w:r w:rsidR="00647628" w:rsidRPr="00647628">
              <w:rPr>
                <w:noProof/>
                <w:webHidden/>
              </w:rPr>
              <w:fldChar w:fldCharType="end"/>
            </w:r>
          </w:hyperlink>
        </w:p>
        <w:p w14:paraId="066844EC" w14:textId="12537A69" w:rsidR="00647628" w:rsidRPr="00647628" w:rsidRDefault="00647628">
          <w:r w:rsidRPr="00647628">
            <w:rPr>
              <w:bCs/>
            </w:rPr>
            <w:fldChar w:fldCharType="end"/>
          </w:r>
        </w:p>
      </w:sdtContent>
    </w:sdt>
    <w:p w14:paraId="7280269E" w14:textId="4EEBFFF0" w:rsidR="0033001A" w:rsidRDefault="0033001A" w:rsidP="005D6691">
      <w:pPr>
        <w:pStyle w:val="af3"/>
      </w:pPr>
    </w:p>
    <w:p w14:paraId="39567DED" w14:textId="77777777" w:rsidR="0033001A" w:rsidRDefault="0033001A" w:rsidP="0033001A">
      <w:pPr>
        <w:pStyle w:val="1"/>
      </w:pPr>
    </w:p>
    <w:p w14:paraId="4629B0C2" w14:textId="77777777" w:rsidR="0033001A" w:rsidRDefault="0033001A" w:rsidP="0033001A">
      <w:pPr>
        <w:pStyle w:val="1"/>
      </w:pPr>
    </w:p>
    <w:p w14:paraId="486EDD24" w14:textId="77777777" w:rsidR="0033001A" w:rsidRDefault="0033001A" w:rsidP="0033001A"/>
    <w:p w14:paraId="60267FAC" w14:textId="77777777" w:rsidR="0033001A" w:rsidRDefault="0033001A" w:rsidP="0033001A"/>
    <w:p w14:paraId="3FFCE245" w14:textId="77777777" w:rsidR="0033001A" w:rsidRDefault="0033001A" w:rsidP="0033001A"/>
    <w:p w14:paraId="63814369" w14:textId="77777777" w:rsidR="0033001A" w:rsidRDefault="0033001A" w:rsidP="0033001A"/>
    <w:p w14:paraId="710404E2" w14:textId="77777777" w:rsidR="0033001A" w:rsidRDefault="0033001A" w:rsidP="0033001A"/>
    <w:p w14:paraId="423C47F7" w14:textId="77777777" w:rsidR="0033001A" w:rsidRDefault="0033001A" w:rsidP="0033001A"/>
    <w:p w14:paraId="1DA19DEF" w14:textId="77777777" w:rsidR="0033001A" w:rsidRDefault="0033001A" w:rsidP="0033001A"/>
    <w:p w14:paraId="5C348D13" w14:textId="77777777" w:rsidR="0033001A" w:rsidRDefault="0033001A" w:rsidP="0033001A"/>
    <w:p w14:paraId="6714F508" w14:textId="77777777" w:rsidR="0033001A" w:rsidRDefault="0033001A" w:rsidP="0033001A"/>
    <w:p w14:paraId="2A0919A9" w14:textId="77777777" w:rsidR="0033001A" w:rsidRDefault="0033001A" w:rsidP="0033001A"/>
    <w:p w14:paraId="3A2A357F" w14:textId="77777777" w:rsidR="0033001A" w:rsidRDefault="0033001A" w:rsidP="0033001A"/>
    <w:p w14:paraId="00531F75" w14:textId="77777777" w:rsidR="0033001A" w:rsidRDefault="0033001A" w:rsidP="0033001A"/>
    <w:p w14:paraId="0FEA8893" w14:textId="77777777" w:rsidR="0033001A" w:rsidRDefault="0033001A" w:rsidP="0033001A"/>
    <w:p w14:paraId="3386244E" w14:textId="77777777" w:rsidR="0033001A" w:rsidRDefault="0033001A" w:rsidP="0033001A"/>
    <w:p w14:paraId="3C2B8F52" w14:textId="77777777" w:rsidR="0033001A" w:rsidRDefault="0033001A" w:rsidP="0033001A"/>
    <w:p w14:paraId="6E2617AD" w14:textId="77777777" w:rsidR="0033001A" w:rsidRDefault="0033001A" w:rsidP="0033001A"/>
    <w:p w14:paraId="46672E59" w14:textId="77777777" w:rsidR="0033001A" w:rsidRDefault="0033001A" w:rsidP="0033001A"/>
    <w:p w14:paraId="7F69F8C0" w14:textId="77777777" w:rsidR="0033001A" w:rsidRDefault="0033001A" w:rsidP="0033001A"/>
    <w:p w14:paraId="1F78D796" w14:textId="77777777" w:rsidR="0033001A" w:rsidRDefault="0033001A" w:rsidP="0033001A"/>
    <w:p w14:paraId="79F35674" w14:textId="77777777" w:rsidR="0033001A" w:rsidRDefault="0033001A" w:rsidP="0033001A"/>
    <w:p w14:paraId="07488C7E" w14:textId="77777777" w:rsidR="0033001A" w:rsidRDefault="0033001A" w:rsidP="0033001A"/>
    <w:p w14:paraId="05426411" w14:textId="77777777" w:rsidR="0033001A" w:rsidRDefault="0033001A" w:rsidP="0033001A"/>
    <w:p w14:paraId="5F058CAE" w14:textId="77777777" w:rsidR="0033001A" w:rsidRDefault="0033001A" w:rsidP="0033001A"/>
    <w:p w14:paraId="72F2EB5D" w14:textId="77777777" w:rsidR="0033001A" w:rsidRDefault="0033001A" w:rsidP="0033001A"/>
    <w:p w14:paraId="6C3C4E29" w14:textId="77777777" w:rsidR="0033001A" w:rsidRPr="0033001A" w:rsidRDefault="0033001A" w:rsidP="0033001A"/>
    <w:p w14:paraId="608F7301" w14:textId="77777777" w:rsidR="0054305D" w:rsidRPr="0033001A" w:rsidRDefault="0033001A" w:rsidP="00C06BAD">
      <w:pPr>
        <w:pStyle w:val="1"/>
        <w:jc w:val="center"/>
        <w:rPr>
          <w:color w:val="auto"/>
        </w:rPr>
      </w:pPr>
      <w:bookmarkStart w:id="1" w:name="_Toc517465185"/>
      <w:bookmarkStart w:id="2" w:name="_Toc522003959"/>
      <w:r w:rsidRPr="00647628">
        <w:rPr>
          <w:rFonts w:ascii="Times New Roman" w:hAnsi="Times New Roman" w:cs="Times New Roman"/>
          <w:b/>
          <w:color w:val="auto"/>
          <w:lang w:val="en-US"/>
        </w:rPr>
        <w:lastRenderedPageBreak/>
        <w:t>I</w:t>
      </w:r>
      <w:r w:rsidRPr="00647628">
        <w:rPr>
          <w:rFonts w:ascii="Times New Roman" w:hAnsi="Times New Roman" w:cs="Times New Roman"/>
          <w:b/>
          <w:color w:val="auto"/>
        </w:rPr>
        <w:t>.</w:t>
      </w:r>
      <w:r w:rsidRPr="00C06BAD">
        <w:rPr>
          <w:rFonts w:ascii="Times New Roman" w:hAnsi="Times New Roman" w:cs="Times New Roman"/>
          <w:b/>
          <w:color w:val="auto"/>
          <w:sz w:val="36"/>
        </w:rPr>
        <w:t> </w:t>
      </w:r>
      <w:r w:rsidR="004B705C" w:rsidRPr="00C06BAD">
        <w:rPr>
          <w:rFonts w:ascii="Times New Roman" w:hAnsi="Times New Roman" w:cs="Times New Roman"/>
          <w:b/>
          <w:color w:val="auto"/>
          <w:sz w:val="36"/>
        </w:rPr>
        <w:t>О</w:t>
      </w:r>
      <w:r w:rsidR="0054305D" w:rsidRPr="00C06BAD">
        <w:rPr>
          <w:rFonts w:ascii="Times New Roman" w:hAnsi="Times New Roman" w:cs="Times New Roman"/>
          <w:b/>
          <w:color w:val="auto"/>
          <w:sz w:val="36"/>
        </w:rPr>
        <w:t>бщие положения</w:t>
      </w:r>
      <w:bookmarkEnd w:id="1"/>
      <w:bookmarkEnd w:id="2"/>
    </w:p>
    <w:p w14:paraId="7A3BCDCB" w14:textId="77777777" w:rsidR="004B705C" w:rsidRPr="004B705C" w:rsidRDefault="004B705C" w:rsidP="004B705C">
      <w:pPr>
        <w:ind w:firstLine="426"/>
        <w:jc w:val="both"/>
        <w:rPr>
          <w:sz w:val="28"/>
          <w:szCs w:val="28"/>
        </w:rPr>
      </w:pPr>
    </w:p>
    <w:p w14:paraId="6352DC2E" w14:textId="77777777" w:rsidR="004B705C" w:rsidRPr="00315BD1" w:rsidRDefault="004B705C" w:rsidP="00315BD1">
      <w:pPr>
        <w:ind w:firstLine="851"/>
        <w:jc w:val="both"/>
        <w:rPr>
          <w:sz w:val="28"/>
          <w:szCs w:val="28"/>
        </w:rPr>
      </w:pPr>
      <w:r w:rsidRPr="00315BD1">
        <w:rPr>
          <w:sz w:val="28"/>
          <w:szCs w:val="28"/>
        </w:rPr>
        <w:t>Целью настоящего исследования является изучение рынка подвесных потолочных конструкций и состояния конкуренции на нем.</w:t>
      </w:r>
    </w:p>
    <w:p w14:paraId="7CD5BF3A" w14:textId="77777777" w:rsidR="004B705C" w:rsidRPr="00315BD1" w:rsidRDefault="004B705C" w:rsidP="00315BD1">
      <w:pPr>
        <w:ind w:firstLine="851"/>
        <w:jc w:val="both"/>
        <w:rPr>
          <w:sz w:val="28"/>
          <w:szCs w:val="28"/>
        </w:rPr>
      </w:pPr>
      <w:r w:rsidRPr="00315BD1">
        <w:rPr>
          <w:sz w:val="28"/>
          <w:szCs w:val="28"/>
        </w:rPr>
        <w:t>Методическую основу анализа составил Порядок проведения анализа состояния конкуренции на товарном рынке, утвержденный приказом</w:t>
      </w:r>
      <w:r w:rsidRPr="00315BD1">
        <w:rPr>
          <w:sz w:val="28"/>
          <w:szCs w:val="28"/>
        </w:rPr>
        <w:br/>
        <w:t xml:space="preserve">ФАС России от 28.04.2010 № 220 «Об утверждении порядка проведения анализа состояния конкуренции на товарном рынке» (далее – Порядок проведения анализа/Порядок). </w:t>
      </w:r>
    </w:p>
    <w:p w14:paraId="2F161134" w14:textId="535AC338" w:rsidR="004B705C" w:rsidRPr="004B705C" w:rsidRDefault="004B705C" w:rsidP="00315BD1">
      <w:pPr>
        <w:ind w:firstLine="851"/>
        <w:jc w:val="both"/>
        <w:rPr>
          <w:sz w:val="28"/>
          <w:szCs w:val="28"/>
        </w:rPr>
      </w:pPr>
      <w:r w:rsidRPr="00315BD1">
        <w:rPr>
          <w:sz w:val="28"/>
          <w:szCs w:val="28"/>
        </w:rPr>
        <w:t>В качестве источников информации использовались данные Федеральной таможенной службы, хозяйствующих субъектов,</w:t>
      </w:r>
      <w:r w:rsidR="00040E60" w:rsidRPr="00315BD1">
        <w:rPr>
          <w:sz w:val="28"/>
          <w:szCs w:val="28"/>
        </w:rPr>
        <w:t xml:space="preserve"> производящих и реализующих подвесные потолочные конструкции</w:t>
      </w:r>
      <w:r w:rsidR="00B52686">
        <w:rPr>
          <w:sz w:val="28"/>
          <w:szCs w:val="28"/>
        </w:rPr>
        <w:t xml:space="preserve"> </w:t>
      </w:r>
      <w:r w:rsidRPr="00315BD1">
        <w:rPr>
          <w:sz w:val="28"/>
          <w:szCs w:val="28"/>
        </w:rPr>
        <w:t>и</w:t>
      </w:r>
      <w:r w:rsidR="00B52686">
        <w:rPr>
          <w:sz w:val="28"/>
          <w:szCs w:val="28"/>
        </w:rPr>
        <w:t xml:space="preserve"> данные маркетинговых исследований</w:t>
      </w:r>
      <w:r w:rsidRPr="00315BD1">
        <w:rPr>
          <w:sz w:val="28"/>
          <w:szCs w:val="28"/>
        </w:rPr>
        <w:t>.</w:t>
      </w:r>
    </w:p>
    <w:p w14:paraId="7C9EB88D" w14:textId="77777777" w:rsidR="004B705C" w:rsidRPr="004B705C" w:rsidRDefault="004B705C" w:rsidP="004B705C">
      <w:pPr>
        <w:ind w:firstLine="426"/>
        <w:jc w:val="both"/>
        <w:rPr>
          <w:sz w:val="28"/>
          <w:szCs w:val="28"/>
        </w:rPr>
      </w:pPr>
    </w:p>
    <w:p w14:paraId="701AF00E" w14:textId="77777777" w:rsidR="0054305D" w:rsidRPr="00CE567D" w:rsidRDefault="0033001A" w:rsidP="00C06BAD">
      <w:pPr>
        <w:pStyle w:val="1"/>
        <w:jc w:val="center"/>
        <w:rPr>
          <w:rFonts w:ascii="Times New Roman" w:hAnsi="Times New Roman" w:cs="Times New Roman"/>
          <w:b/>
          <w:color w:val="auto"/>
          <w:sz w:val="36"/>
        </w:rPr>
      </w:pPr>
      <w:bookmarkStart w:id="3" w:name="_Toc517465186"/>
      <w:bookmarkStart w:id="4" w:name="_Toc522003960"/>
      <w:r w:rsidRPr="00647628">
        <w:rPr>
          <w:rFonts w:ascii="Times New Roman" w:hAnsi="Times New Roman" w:cs="Times New Roman"/>
          <w:b/>
          <w:color w:val="auto"/>
        </w:rPr>
        <w:t>II.</w:t>
      </w:r>
      <w:r w:rsidRPr="00CE567D">
        <w:rPr>
          <w:rFonts w:ascii="Times New Roman" w:hAnsi="Times New Roman" w:cs="Times New Roman"/>
          <w:b/>
          <w:color w:val="auto"/>
          <w:sz w:val="36"/>
        </w:rPr>
        <w:t> </w:t>
      </w:r>
      <w:r w:rsidR="004B705C" w:rsidRPr="00CE567D">
        <w:rPr>
          <w:rFonts w:ascii="Times New Roman" w:hAnsi="Times New Roman" w:cs="Times New Roman"/>
          <w:b/>
          <w:color w:val="auto"/>
          <w:sz w:val="36"/>
        </w:rPr>
        <w:t>О</w:t>
      </w:r>
      <w:r w:rsidR="0054305D" w:rsidRPr="00CE567D">
        <w:rPr>
          <w:rFonts w:ascii="Times New Roman" w:hAnsi="Times New Roman" w:cs="Times New Roman"/>
          <w:b/>
          <w:color w:val="auto"/>
          <w:sz w:val="36"/>
        </w:rPr>
        <w:t>пределение временного интервала исследования товарного рынка</w:t>
      </w:r>
      <w:bookmarkEnd w:id="3"/>
      <w:bookmarkEnd w:id="4"/>
    </w:p>
    <w:p w14:paraId="54784C96" w14:textId="77777777" w:rsidR="004B705C" w:rsidRDefault="004B705C" w:rsidP="004B705C">
      <w:pPr>
        <w:ind w:firstLine="426"/>
        <w:jc w:val="both"/>
        <w:rPr>
          <w:sz w:val="28"/>
          <w:szCs w:val="28"/>
        </w:rPr>
      </w:pPr>
    </w:p>
    <w:p w14:paraId="261EE7F1" w14:textId="77777777" w:rsidR="00040E60" w:rsidRPr="00315BD1" w:rsidRDefault="00040E60" w:rsidP="00315BD1">
      <w:pPr>
        <w:ind w:firstLine="709"/>
        <w:jc w:val="both"/>
        <w:rPr>
          <w:sz w:val="28"/>
          <w:szCs w:val="28"/>
        </w:rPr>
      </w:pPr>
      <w:r w:rsidRPr="00315BD1">
        <w:rPr>
          <w:bCs/>
          <w:sz w:val="28"/>
          <w:szCs w:val="28"/>
        </w:rPr>
        <w:t xml:space="preserve">В соответствии с Порядком временной интервал исследования рынка </w:t>
      </w:r>
      <w:r w:rsidRPr="00315BD1">
        <w:rPr>
          <w:sz w:val="28"/>
          <w:szCs w:val="28"/>
        </w:rPr>
        <w:t>подвесных потолочных конструкций определен исходя из цели исследования.</w:t>
      </w:r>
    </w:p>
    <w:p w14:paraId="0AB4CD0A" w14:textId="4821B139" w:rsidR="00B52686" w:rsidRDefault="00B52686" w:rsidP="00315BD1">
      <w:pPr>
        <w:ind w:firstLine="709"/>
        <w:jc w:val="both"/>
        <w:rPr>
          <w:sz w:val="28"/>
          <w:szCs w:val="28"/>
        </w:rPr>
      </w:pPr>
      <w:r>
        <w:rPr>
          <w:sz w:val="28"/>
          <w:szCs w:val="28"/>
        </w:rPr>
        <w:t>Данное исследование проводится в</w:t>
      </w:r>
      <w:r w:rsidR="00040E60" w:rsidRPr="00315BD1">
        <w:rPr>
          <w:sz w:val="28"/>
          <w:szCs w:val="28"/>
        </w:rPr>
        <w:t xml:space="preserve"> рамках рассмотрения ходатайства </w:t>
      </w:r>
      <w:r w:rsidR="00057771" w:rsidRPr="00315BD1">
        <w:rPr>
          <w:sz w:val="28"/>
          <w:szCs w:val="28"/>
        </w:rPr>
        <w:t xml:space="preserve">компании «КНАУФ ИНТЕРНАЦИОНАЛЬ ГмбХ» о приобретении </w:t>
      </w:r>
      <w:r w:rsidR="00057771" w:rsidRPr="00315BD1">
        <w:rPr>
          <w:iCs/>
          <w:sz w:val="28"/>
          <w:szCs w:val="28"/>
          <w:shd w:val="clear" w:color="auto" w:fill="FFFFFF"/>
        </w:rPr>
        <w:t xml:space="preserve">долей в размере 100% уставного капитала </w:t>
      </w:r>
      <w:r w:rsidR="00057771" w:rsidRPr="00315BD1">
        <w:rPr>
          <w:sz w:val="28"/>
          <w:szCs w:val="28"/>
        </w:rPr>
        <w:t>зарегистрированных на территории Российской Федерации общества с ограниченной ответственностью «Армстронг Ворлд Индастриз и общества с ограниченной ответственностью «Армстронг Билдинг Продактс» исследовалась деятельность компании «КНАУФ ИНТЕРНАЦИОНАЛЬ ГмбХ» (ее группы лиц) и группы компаний «Армстронг» на рынке подвесных потолочных конструкций</w:t>
      </w:r>
      <w:r>
        <w:rPr>
          <w:sz w:val="28"/>
          <w:szCs w:val="28"/>
        </w:rPr>
        <w:t>.</w:t>
      </w:r>
    </w:p>
    <w:p w14:paraId="61363E8C" w14:textId="77777777" w:rsidR="00022010" w:rsidRPr="00315BD1" w:rsidRDefault="00022010" w:rsidP="00315BD1">
      <w:pPr>
        <w:ind w:firstLine="709"/>
        <w:jc w:val="both"/>
        <w:rPr>
          <w:bCs/>
          <w:sz w:val="28"/>
          <w:szCs w:val="28"/>
        </w:rPr>
      </w:pPr>
      <w:r w:rsidRPr="00315BD1">
        <w:rPr>
          <w:bCs/>
          <w:sz w:val="28"/>
          <w:szCs w:val="28"/>
        </w:rPr>
        <w:t>В этой связи, с целью всестороннего и полного изучения особенностей и сложившихся характеристик рассматриваемого товарного рынка проводится ретроспективный анализ состояния конкуренции товарного рынка, а также перспективный -  анализируется воздействие, которое окажут подконтрольные действия на состояние конкуренции.</w:t>
      </w:r>
    </w:p>
    <w:p w14:paraId="790A7DC3" w14:textId="77777777" w:rsidR="00022010" w:rsidRPr="00022010" w:rsidRDefault="00022010" w:rsidP="00315BD1">
      <w:pPr>
        <w:ind w:firstLine="709"/>
        <w:jc w:val="both"/>
        <w:rPr>
          <w:sz w:val="28"/>
          <w:szCs w:val="28"/>
        </w:rPr>
      </w:pPr>
      <w:r w:rsidRPr="00315BD1">
        <w:rPr>
          <w:bCs/>
          <w:sz w:val="28"/>
          <w:szCs w:val="28"/>
        </w:rPr>
        <w:t>Временным интервалом исследования рассматриваемого товарного рынка установлен период 2016 - 2017 гг.</w:t>
      </w:r>
    </w:p>
    <w:p w14:paraId="22879A2D" w14:textId="77777777" w:rsidR="004B705C" w:rsidRPr="00CE567D" w:rsidRDefault="0033001A" w:rsidP="00C06BAD">
      <w:pPr>
        <w:pStyle w:val="1"/>
        <w:jc w:val="center"/>
        <w:rPr>
          <w:rFonts w:ascii="Times New Roman" w:hAnsi="Times New Roman" w:cs="Times New Roman"/>
          <w:color w:val="auto"/>
        </w:rPr>
      </w:pPr>
      <w:bookmarkStart w:id="5" w:name="_Toc517465187"/>
      <w:bookmarkStart w:id="6" w:name="_Toc522003961"/>
      <w:r w:rsidRPr="00647628">
        <w:rPr>
          <w:rFonts w:ascii="Times New Roman" w:hAnsi="Times New Roman" w:cs="Times New Roman"/>
          <w:b/>
          <w:color w:val="auto"/>
          <w:lang w:val="en-US"/>
        </w:rPr>
        <w:t>III</w:t>
      </w:r>
      <w:r w:rsidRPr="00647628">
        <w:rPr>
          <w:rFonts w:ascii="Times New Roman" w:hAnsi="Times New Roman" w:cs="Times New Roman"/>
          <w:b/>
          <w:color w:val="auto"/>
        </w:rPr>
        <w:t>.</w:t>
      </w:r>
      <w:r w:rsidRPr="0033001A">
        <w:rPr>
          <w:color w:val="auto"/>
        </w:rPr>
        <w:t xml:space="preserve"> </w:t>
      </w:r>
      <w:r w:rsidR="004B705C" w:rsidRPr="00CE567D">
        <w:rPr>
          <w:rFonts w:ascii="Times New Roman" w:hAnsi="Times New Roman" w:cs="Times New Roman"/>
          <w:b/>
          <w:color w:val="auto"/>
          <w:sz w:val="36"/>
        </w:rPr>
        <w:t>О</w:t>
      </w:r>
      <w:r w:rsidR="0054305D" w:rsidRPr="00CE567D">
        <w:rPr>
          <w:rFonts w:ascii="Times New Roman" w:hAnsi="Times New Roman" w:cs="Times New Roman"/>
          <w:b/>
          <w:color w:val="auto"/>
          <w:sz w:val="36"/>
        </w:rPr>
        <w:t>пределение продуктовых границ товарного рынка</w:t>
      </w:r>
      <w:bookmarkEnd w:id="5"/>
      <w:bookmarkEnd w:id="6"/>
    </w:p>
    <w:p w14:paraId="47327F66" w14:textId="77777777" w:rsidR="00022010" w:rsidRDefault="00022010" w:rsidP="006A77D4">
      <w:pPr>
        <w:pStyle w:val="a8"/>
        <w:spacing w:line="264" w:lineRule="auto"/>
        <w:rPr>
          <w:szCs w:val="28"/>
        </w:rPr>
      </w:pPr>
    </w:p>
    <w:p w14:paraId="774E37BB" w14:textId="77777777" w:rsidR="007366B2" w:rsidRPr="00EC6860" w:rsidRDefault="007366B2" w:rsidP="00315BD1">
      <w:pPr>
        <w:pStyle w:val="a8"/>
        <w:ind w:firstLine="709"/>
      </w:pPr>
      <w:r w:rsidRPr="00EF7C7E">
        <w:t xml:space="preserve">Исходя из информации об основных показателях хозяйственной деятельности, представленной компанией </w:t>
      </w:r>
      <w:r w:rsidR="000A2B96" w:rsidRPr="007D5FDE">
        <w:rPr>
          <w:szCs w:val="28"/>
        </w:rPr>
        <w:t>«КНАУФ ИНТЕРНАЦИОНАЛЬ ГмбХ»</w:t>
      </w:r>
      <w:r w:rsidRPr="00EF7C7E">
        <w:t xml:space="preserve">  вместе с ходатайством</w:t>
      </w:r>
      <w:r>
        <w:t>,</w:t>
      </w:r>
      <w:r w:rsidRPr="00EF7C7E">
        <w:t xml:space="preserve"> товар</w:t>
      </w:r>
      <w:r>
        <w:t>а</w:t>
      </w:r>
      <w:r w:rsidRPr="00EF7C7E">
        <w:t>м</w:t>
      </w:r>
      <w:r>
        <w:t>и</w:t>
      </w:r>
      <w:r w:rsidRPr="00EF7C7E">
        <w:t>, производимым и реализуемым объектами экономической концентрации являются</w:t>
      </w:r>
      <w:r>
        <w:t xml:space="preserve"> подвесные потол</w:t>
      </w:r>
      <w:r w:rsidR="000A2B96">
        <w:t>ки из минерального волокна и из металла, а также подвесные системы.</w:t>
      </w:r>
    </w:p>
    <w:p w14:paraId="0EBCEC4F" w14:textId="77777777" w:rsidR="00811693" w:rsidRDefault="00811693" w:rsidP="00315BD1">
      <w:pPr>
        <w:pStyle w:val="a8"/>
        <w:ind w:firstLine="709"/>
        <w:rPr>
          <w:szCs w:val="28"/>
        </w:rPr>
      </w:pPr>
      <w:r>
        <w:rPr>
          <w:szCs w:val="28"/>
        </w:rPr>
        <w:t xml:space="preserve">В группе компании </w:t>
      </w:r>
      <w:r w:rsidRPr="007D5FDE">
        <w:rPr>
          <w:szCs w:val="28"/>
        </w:rPr>
        <w:t>«КНАУФ ИНТЕРНАЦИОНАЛЬ ГмбХ»</w:t>
      </w:r>
      <w:r>
        <w:rPr>
          <w:szCs w:val="28"/>
        </w:rPr>
        <w:t xml:space="preserve"> аналогичную продукцию, модульные подвесные потолочные конструкции на основе </w:t>
      </w:r>
      <w:r>
        <w:rPr>
          <w:szCs w:val="28"/>
        </w:rPr>
        <w:lastRenderedPageBreak/>
        <w:t xml:space="preserve">минерального сырья или древесных волокон, выпускает  компания </w:t>
      </w:r>
      <w:r w:rsidRPr="00326E55">
        <w:rPr>
          <w:szCs w:val="28"/>
        </w:rPr>
        <w:t>«КНАУФ AMФ ГмбХ унд Кo. KГ»</w:t>
      </w:r>
      <w:r>
        <w:rPr>
          <w:szCs w:val="28"/>
        </w:rPr>
        <w:t>, поставляющая товар, в том числе на территорию Российской Федерации.</w:t>
      </w:r>
    </w:p>
    <w:p w14:paraId="00C2516B" w14:textId="77777777" w:rsidR="004938D4" w:rsidRPr="006F4BCF" w:rsidRDefault="004938D4" w:rsidP="00315BD1">
      <w:pPr>
        <w:pStyle w:val="a8"/>
        <w:ind w:firstLine="709"/>
      </w:pPr>
      <w:r>
        <w:t>Таким образом, предварительным т</w:t>
      </w:r>
      <w:r w:rsidRPr="006F4BCF">
        <w:t>оваром на рассматриваемом рынке являются</w:t>
      </w:r>
      <w:r>
        <w:t xml:space="preserve"> подвесные потолочные системы.</w:t>
      </w:r>
      <w:r w:rsidRPr="006F4BCF">
        <w:t xml:space="preserve"> </w:t>
      </w:r>
    </w:p>
    <w:p w14:paraId="39BA2A9F" w14:textId="77777777" w:rsidR="004938D4" w:rsidRDefault="004938D4" w:rsidP="00315BD1">
      <w:pPr>
        <w:pStyle w:val="a8"/>
        <w:ind w:firstLine="709"/>
        <w:rPr>
          <w:szCs w:val="28"/>
        </w:rPr>
      </w:pPr>
      <w:r>
        <w:rPr>
          <w:szCs w:val="28"/>
        </w:rPr>
        <w:t>По информации, представленной участниками сделки, а также указанными ими конкурентами, деятельность по производству подвесных потолочных систем</w:t>
      </w:r>
      <w:r w:rsidR="00B768B9">
        <w:rPr>
          <w:szCs w:val="28"/>
        </w:rPr>
        <w:t xml:space="preserve"> осуществляется </w:t>
      </w:r>
      <w:r>
        <w:rPr>
          <w:szCs w:val="28"/>
        </w:rPr>
        <w:t>по следующим направлениям в соответствии с кодами Общероссийского классификатора видов экономической деятельности</w:t>
      </w:r>
      <w:r w:rsidR="00B768B9">
        <w:rPr>
          <w:szCs w:val="28"/>
        </w:rPr>
        <w:t xml:space="preserve"> </w:t>
      </w:r>
      <w:r w:rsidR="00B768B9" w:rsidRPr="006F4BCF">
        <w:t>(ОК 029-2014)</w:t>
      </w:r>
      <w:r>
        <w:rPr>
          <w:szCs w:val="28"/>
        </w:rPr>
        <w:t>:</w:t>
      </w:r>
    </w:p>
    <w:p w14:paraId="3601EACF" w14:textId="77777777" w:rsidR="00B768B9" w:rsidRDefault="00B768B9" w:rsidP="00C06BAD">
      <w:pPr>
        <w:pStyle w:val="a8"/>
        <w:numPr>
          <w:ilvl w:val="0"/>
          <w:numId w:val="11"/>
        </w:numPr>
        <w:tabs>
          <w:tab w:val="clear" w:pos="10206"/>
        </w:tabs>
        <w:ind w:left="0" w:firstLine="709"/>
      </w:pPr>
      <w:r>
        <w:t>22.23 Производство пластмассовых изделий, используемых в строительстве;</w:t>
      </w:r>
    </w:p>
    <w:p w14:paraId="0299CC5D" w14:textId="77777777" w:rsidR="00B768B9" w:rsidRPr="00B768B9" w:rsidRDefault="00B768B9" w:rsidP="00C06BAD">
      <w:pPr>
        <w:pStyle w:val="a8"/>
        <w:numPr>
          <w:ilvl w:val="0"/>
          <w:numId w:val="11"/>
        </w:numPr>
        <w:tabs>
          <w:tab w:val="clear" w:pos="10206"/>
          <w:tab w:val="left" w:pos="1418"/>
        </w:tabs>
        <w:ind w:left="0" w:firstLine="709"/>
        <w:rPr>
          <w:szCs w:val="28"/>
        </w:rPr>
      </w:pPr>
      <w:r>
        <w:rPr>
          <w:szCs w:val="28"/>
        </w:rPr>
        <w:t xml:space="preserve">24.33 </w:t>
      </w:r>
      <w:r w:rsidRPr="00EF2D96">
        <w:rPr>
          <w:szCs w:val="28"/>
        </w:rPr>
        <w:t>Производство профилей с помощью холодной штамповки или гибки</w:t>
      </w:r>
      <w:r>
        <w:rPr>
          <w:szCs w:val="28"/>
        </w:rPr>
        <w:t>;</w:t>
      </w:r>
    </w:p>
    <w:p w14:paraId="6141B1FF" w14:textId="77777777" w:rsidR="004938D4" w:rsidRDefault="004938D4" w:rsidP="00C06BAD">
      <w:pPr>
        <w:pStyle w:val="a8"/>
        <w:numPr>
          <w:ilvl w:val="0"/>
          <w:numId w:val="11"/>
        </w:numPr>
        <w:tabs>
          <w:tab w:val="clear" w:pos="10206"/>
        </w:tabs>
        <w:ind w:left="0" w:firstLine="709"/>
        <w:rPr>
          <w:szCs w:val="28"/>
        </w:rPr>
      </w:pPr>
      <w:r>
        <w:rPr>
          <w:szCs w:val="28"/>
        </w:rPr>
        <w:t xml:space="preserve">25.11 </w:t>
      </w:r>
      <w:r w:rsidRPr="00EF2D96">
        <w:rPr>
          <w:szCs w:val="28"/>
        </w:rPr>
        <w:t>Производство строительных металлических конструкций, изделий и их частей</w:t>
      </w:r>
      <w:r>
        <w:rPr>
          <w:szCs w:val="28"/>
        </w:rPr>
        <w:t>;</w:t>
      </w:r>
    </w:p>
    <w:p w14:paraId="305675E8" w14:textId="77777777" w:rsidR="004938D4" w:rsidRDefault="004938D4" w:rsidP="00C06BAD">
      <w:pPr>
        <w:pStyle w:val="a8"/>
        <w:numPr>
          <w:ilvl w:val="0"/>
          <w:numId w:val="11"/>
        </w:numPr>
        <w:tabs>
          <w:tab w:val="clear" w:pos="10206"/>
        </w:tabs>
        <w:ind w:left="0" w:firstLine="709"/>
        <w:rPr>
          <w:szCs w:val="28"/>
        </w:rPr>
      </w:pPr>
      <w:r>
        <w:rPr>
          <w:szCs w:val="28"/>
        </w:rPr>
        <w:t xml:space="preserve">16.21.13 </w:t>
      </w:r>
      <w:r w:rsidRPr="00EF2D96">
        <w:rPr>
          <w:szCs w:val="28"/>
        </w:rPr>
        <w:t>Производство древесно-волокнистых плит из древесины или других одревесневших материалов</w:t>
      </w:r>
      <w:r w:rsidR="00395FE4" w:rsidRPr="00395FE4">
        <w:rPr>
          <w:szCs w:val="28"/>
        </w:rPr>
        <w:t>;</w:t>
      </w:r>
    </w:p>
    <w:p w14:paraId="7FF60FD5" w14:textId="77777777" w:rsidR="004938D4" w:rsidRDefault="004938D4" w:rsidP="00C06BAD">
      <w:pPr>
        <w:pStyle w:val="a8"/>
        <w:numPr>
          <w:ilvl w:val="0"/>
          <w:numId w:val="11"/>
        </w:numPr>
        <w:tabs>
          <w:tab w:val="clear" w:pos="10206"/>
        </w:tabs>
        <w:ind w:left="0" w:firstLine="709"/>
        <w:rPr>
          <w:szCs w:val="28"/>
        </w:rPr>
      </w:pPr>
      <w:r>
        <w:rPr>
          <w:szCs w:val="28"/>
        </w:rPr>
        <w:t xml:space="preserve">23.99 </w:t>
      </w:r>
      <w:r w:rsidRPr="007354EA">
        <w:rPr>
          <w:szCs w:val="28"/>
        </w:rPr>
        <w:t>Производство прочей неметаллической минеральной продукции, не включенной в другие группировки</w:t>
      </w:r>
      <w:r w:rsidR="00395FE4">
        <w:rPr>
          <w:szCs w:val="28"/>
        </w:rPr>
        <w:t>.</w:t>
      </w:r>
    </w:p>
    <w:p w14:paraId="1DCA5452" w14:textId="77777777" w:rsidR="00022010" w:rsidRPr="00FC489D" w:rsidRDefault="00395FE4" w:rsidP="00FC489D">
      <w:pPr>
        <w:autoSpaceDE w:val="0"/>
        <w:autoSpaceDN w:val="0"/>
        <w:adjustRightInd w:val="0"/>
        <w:ind w:firstLine="709"/>
        <w:jc w:val="both"/>
      </w:pPr>
      <w:r w:rsidRPr="00B54DBF">
        <w:rPr>
          <w:bCs/>
          <w:sz w:val="28"/>
          <w:szCs w:val="28"/>
        </w:rPr>
        <w:t>В соответствии с Общероссийским классификатором продукции по видам экономической деятельности (ОК034 – 2007; КПЕС 2002), действовавшим до 01.01.2017, во время переходного периода, связанного с введением ОКПД2, производство составных частей и комплектующих подвесных потолочных систем соответствует классам продукции: 22.23 «</w:t>
      </w:r>
      <w:r w:rsidRPr="00B54DBF">
        <w:rPr>
          <w:rFonts w:eastAsiaTheme="minorHAnsi"/>
          <w:sz w:val="28"/>
          <w:szCs w:val="28"/>
          <w:lang w:eastAsia="en-US"/>
        </w:rPr>
        <w:t>Изделия пластмассовые строительные</w:t>
      </w:r>
      <w:r w:rsidRPr="00B54DBF">
        <w:rPr>
          <w:bCs/>
          <w:sz w:val="28"/>
          <w:szCs w:val="28"/>
        </w:rPr>
        <w:t>» (подклассу 22.23.11 «</w:t>
      </w:r>
      <w:r w:rsidRPr="00B54DBF">
        <w:rPr>
          <w:rFonts w:eastAsiaTheme="minorHAnsi"/>
          <w:sz w:val="28"/>
          <w:szCs w:val="28"/>
          <w:lang w:eastAsia="en-US"/>
        </w:rPr>
        <w:t>Материалы для покрытий пола, стен или потолка пластмассовые в рулонах или в форме плиток</w:t>
      </w:r>
      <w:r w:rsidRPr="00B54DBF">
        <w:rPr>
          <w:bCs/>
          <w:sz w:val="28"/>
          <w:szCs w:val="28"/>
        </w:rPr>
        <w:t>»); 24.33 «</w:t>
      </w:r>
      <w:r w:rsidRPr="00B54DBF">
        <w:rPr>
          <w:rFonts w:eastAsiaTheme="minorHAnsi"/>
          <w:sz w:val="28"/>
          <w:szCs w:val="28"/>
          <w:lang w:eastAsia="en-US"/>
        </w:rPr>
        <w:t>Изделия холодной штамповки или гибки» (включая профили незамкнутые холодной штамповки или гибки из</w:t>
      </w:r>
      <w:r w:rsidR="00D27CD1" w:rsidRPr="00B54DBF">
        <w:rPr>
          <w:rFonts w:eastAsiaTheme="minorHAnsi"/>
          <w:sz w:val="28"/>
          <w:szCs w:val="28"/>
          <w:lang w:eastAsia="en-US"/>
        </w:rPr>
        <w:t xml:space="preserve"> нелегир</w:t>
      </w:r>
      <w:r w:rsidRPr="00B54DBF">
        <w:rPr>
          <w:rFonts w:eastAsiaTheme="minorHAnsi"/>
          <w:sz w:val="28"/>
          <w:szCs w:val="28"/>
          <w:lang w:eastAsia="en-US"/>
        </w:rPr>
        <w:t>о</w:t>
      </w:r>
      <w:r w:rsidR="00D27CD1" w:rsidRPr="00B54DBF">
        <w:rPr>
          <w:rFonts w:eastAsiaTheme="minorHAnsi"/>
          <w:sz w:val="28"/>
          <w:szCs w:val="28"/>
          <w:lang w:eastAsia="en-US"/>
        </w:rPr>
        <w:t>в</w:t>
      </w:r>
      <w:r w:rsidRPr="00B54DBF">
        <w:rPr>
          <w:rFonts w:eastAsiaTheme="minorHAnsi"/>
          <w:sz w:val="28"/>
          <w:szCs w:val="28"/>
          <w:lang w:eastAsia="en-US"/>
        </w:rPr>
        <w:t xml:space="preserve">анных </w:t>
      </w:r>
      <w:r w:rsidR="00D27CD1" w:rsidRPr="00B54DBF">
        <w:rPr>
          <w:rFonts w:eastAsiaTheme="minorHAnsi"/>
          <w:sz w:val="28"/>
          <w:szCs w:val="28"/>
          <w:lang w:eastAsia="en-US"/>
        </w:rPr>
        <w:t>или нержавеющих сталей); 25.11 «Металлоконструкции строительные и их части»;</w:t>
      </w:r>
      <w:r w:rsidR="00B54DBF" w:rsidRPr="00B54DBF">
        <w:rPr>
          <w:rFonts w:eastAsiaTheme="minorHAnsi"/>
          <w:sz w:val="28"/>
          <w:szCs w:val="28"/>
          <w:lang w:eastAsia="en-US"/>
        </w:rPr>
        <w:t xml:space="preserve"> 16.21</w:t>
      </w:r>
      <w:r w:rsidR="00D27CD1" w:rsidRPr="00B54DBF">
        <w:rPr>
          <w:rFonts w:eastAsiaTheme="minorHAnsi"/>
          <w:sz w:val="28"/>
          <w:szCs w:val="28"/>
          <w:lang w:eastAsia="en-US"/>
        </w:rPr>
        <w:t xml:space="preserve"> </w:t>
      </w:r>
      <w:r w:rsidR="00B54DBF" w:rsidRPr="00B54DBF">
        <w:rPr>
          <w:rFonts w:eastAsiaTheme="minorHAnsi"/>
          <w:sz w:val="28"/>
          <w:szCs w:val="28"/>
          <w:lang w:eastAsia="en-US"/>
        </w:rPr>
        <w:t xml:space="preserve">«Листы для облицовки и плиты многослойные»; 23.99 «Продукция минеральная неметаллическая прочая, не включенная в другие группировки» (подклассу </w:t>
      </w:r>
      <w:r w:rsidR="00B54DBF" w:rsidRPr="00B54DBF">
        <w:rPr>
          <w:sz w:val="28"/>
          <w:szCs w:val="28"/>
          <w:shd w:val="clear" w:color="auto" w:fill="FFFFFF"/>
        </w:rPr>
        <w:t>23.99.19.190 - Продукция минеральная неметаллическая прочая, не включенная в другие группировки).</w:t>
      </w:r>
    </w:p>
    <w:p w14:paraId="76117DAA" w14:textId="77777777" w:rsidR="00914C27" w:rsidRPr="006F4BCF" w:rsidRDefault="00914C27" w:rsidP="00315BD1">
      <w:pPr>
        <w:pStyle w:val="a8"/>
        <w:ind w:firstLine="709"/>
      </w:pPr>
      <w:r>
        <w:t xml:space="preserve">В соответствии с ГОСТ </w:t>
      </w:r>
      <w:r>
        <w:rPr>
          <w:szCs w:val="28"/>
        </w:rPr>
        <w:t>Р 53298-2009 «</w:t>
      </w:r>
      <w:r w:rsidRPr="00EE76A5">
        <w:rPr>
          <w:szCs w:val="28"/>
        </w:rPr>
        <w:t>Потолки подвесные. Метод испытания на огнестойкость</w:t>
      </w:r>
      <w:r>
        <w:rPr>
          <w:szCs w:val="28"/>
        </w:rPr>
        <w:t>», подвесной потолок представляет собой г</w:t>
      </w:r>
      <w:r w:rsidRPr="00EE76A5">
        <w:rPr>
          <w:szCs w:val="28"/>
        </w:rPr>
        <w:t>оризонтальн</w:t>
      </w:r>
      <w:r>
        <w:rPr>
          <w:szCs w:val="28"/>
        </w:rPr>
        <w:t>ую конструкцию</w:t>
      </w:r>
      <w:r w:rsidRPr="00EE76A5">
        <w:rPr>
          <w:szCs w:val="28"/>
        </w:rPr>
        <w:t>, которая крепится с нижней стороны перекрытия или по</w:t>
      </w:r>
      <w:r>
        <w:rPr>
          <w:szCs w:val="28"/>
        </w:rPr>
        <w:t>крытия на расстоянии не менее 5 </w:t>
      </w:r>
      <w:r w:rsidRPr="00EE76A5">
        <w:rPr>
          <w:szCs w:val="28"/>
        </w:rPr>
        <w:t>мм от него.</w:t>
      </w:r>
      <w:r>
        <w:rPr>
          <w:szCs w:val="28"/>
        </w:rPr>
        <w:t xml:space="preserve"> Л</w:t>
      </w:r>
      <w:r w:rsidRPr="00EE76A5">
        <w:rPr>
          <w:szCs w:val="28"/>
        </w:rPr>
        <w:t>ицев</w:t>
      </w:r>
      <w:r>
        <w:rPr>
          <w:szCs w:val="28"/>
        </w:rPr>
        <w:t>ым</w:t>
      </w:r>
      <w:r w:rsidRPr="00EE76A5">
        <w:rPr>
          <w:szCs w:val="28"/>
        </w:rPr>
        <w:t xml:space="preserve"> элемент</w:t>
      </w:r>
      <w:r>
        <w:rPr>
          <w:szCs w:val="28"/>
        </w:rPr>
        <w:t>ом конструкции является о</w:t>
      </w:r>
      <w:r w:rsidRPr="00EE76A5">
        <w:rPr>
          <w:szCs w:val="28"/>
        </w:rPr>
        <w:t>тделочная панель определенных размеров, имеющая различное функциональное назначение и крепящаяся с нижней стороны каркаса подвесного потолка.</w:t>
      </w:r>
    </w:p>
    <w:p w14:paraId="180EE596" w14:textId="77777777" w:rsidR="00C272B1" w:rsidRDefault="00CA09C7" w:rsidP="00315BD1">
      <w:pPr>
        <w:pStyle w:val="a8"/>
        <w:ind w:firstLine="709"/>
        <w:rPr>
          <w:szCs w:val="28"/>
        </w:rPr>
      </w:pPr>
      <w:r>
        <w:rPr>
          <w:szCs w:val="28"/>
        </w:rPr>
        <w:t>Вне зависимости от вида подвесной системы, методы монтажа и крепления конструкции к традиционному потолку аналогичны. Так, несущую часть</w:t>
      </w:r>
      <w:r w:rsidR="00C272B1">
        <w:rPr>
          <w:szCs w:val="28"/>
        </w:rPr>
        <w:t xml:space="preserve"> подвесной конструкции составляет жесткий каркас. Каркас подвесного потолка</w:t>
      </w:r>
      <w:r w:rsidR="00B52686">
        <w:rPr>
          <w:szCs w:val="28"/>
        </w:rPr>
        <w:t>,</w:t>
      </w:r>
      <w:r>
        <w:rPr>
          <w:szCs w:val="28"/>
        </w:rPr>
        <w:t xml:space="preserve"> как правило</w:t>
      </w:r>
      <w:r w:rsidR="00B52686">
        <w:rPr>
          <w:szCs w:val="28"/>
        </w:rPr>
        <w:t>,</w:t>
      </w:r>
      <w:r w:rsidR="00C272B1">
        <w:rPr>
          <w:szCs w:val="28"/>
        </w:rPr>
        <w:t xml:space="preserve"> формируется за счет </w:t>
      </w:r>
      <w:r w:rsidR="00FB304B">
        <w:rPr>
          <w:szCs w:val="28"/>
        </w:rPr>
        <w:t>стальных</w:t>
      </w:r>
      <w:r>
        <w:rPr>
          <w:szCs w:val="28"/>
        </w:rPr>
        <w:t xml:space="preserve"> или алюминиевых</w:t>
      </w:r>
      <w:r w:rsidR="00C272B1">
        <w:rPr>
          <w:szCs w:val="28"/>
        </w:rPr>
        <w:t xml:space="preserve"> профилей, создающих уровен</w:t>
      </w:r>
      <w:r>
        <w:rPr>
          <w:szCs w:val="28"/>
        </w:rPr>
        <w:t xml:space="preserve">ь и «горизонт» будущего потолка. Каркас крепится к </w:t>
      </w:r>
      <w:r>
        <w:rPr>
          <w:szCs w:val="28"/>
        </w:rPr>
        <w:lastRenderedPageBreak/>
        <w:t>традиционному потолку за счет специальной системы подвесов (зажимы, спицы и пр.)</w:t>
      </w:r>
      <w:r w:rsidR="006F3319">
        <w:rPr>
          <w:szCs w:val="28"/>
        </w:rPr>
        <w:t>.</w:t>
      </w:r>
    </w:p>
    <w:p w14:paraId="0E8A64AA" w14:textId="77777777" w:rsidR="006F3319" w:rsidRPr="00347243" w:rsidRDefault="006F3319" w:rsidP="00315BD1">
      <w:pPr>
        <w:pStyle w:val="a8"/>
        <w:ind w:firstLine="709"/>
        <w:rPr>
          <w:szCs w:val="28"/>
        </w:rPr>
      </w:pPr>
      <w:r w:rsidRPr="00347243">
        <w:rPr>
          <w:szCs w:val="28"/>
        </w:rPr>
        <w:t>В свою очередь подвесные потолочные</w:t>
      </w:r>
      <w:r>
        <w:rPr>
          <w:szCs w:val="28"/>
        </w:rPr>
        <w:t xml:space="preserve"> конструкции</w:t>
      </w:r>
      <w:r w:rsidRPr="00347243">
        <w:rPr>
          <w:szCs w:val="28"/>
        </w:rPr>
        <w:t xml:space="preserve"> делятся на несколько </w:t>
      </w:r>
      <w:r>
        <w:rPr>
          <w:szCs w:val="28"/>
        </w:rPr>
        <w:t xml:space="preserve">основных </w:t>
      </w:r>
      <w:r w:rsidRPr="00347243">
        <w:rPr>
          <w:szCs w:val="28"/>
        </w:rPr>
        <w:t>видов.</w:t>
      </w:r>
    </w:p>
    <w:p w14:paraId="6E4497EF" w14:textId="77777777" w:rsidR="00083E60" w:rsidRPr="00083E60" w:rsidRDefault="006F3319" w:rsidP="00315BD1">
      <w:pPr>
        <w:numPr>
          <w:ilvl w:val="0"/>
          <w:numId w:val="7"/>
        </w:numPr>
        <w:ind w:left="0" w:firstLine="709"/>
        <w:jc w:val="both"/>
        <w:textAlignment w:val="baseline"/>
        <w:rPr>
          <w:sz w:val="28"/>
          <w:szCs w:val="28"/>
        </w:rPr>
      </w:pPr>
      <w:r w:rsidRPr="00CA7879">
        <w:rPr>
          <w:sz w:val="28"/>
          <w:szCs w:val="28"/>
        </w:rPr>
        <w:t xml:space="preserve">Кассетные – модульная конструкция, состоящая из пристенного и несущего профилей, системы подвесов и кассеты, монтирующийся на несущую каркасную систему. Кассета представляет собой панель, изготовленную из различного материала (минеральное волокно, прессованный картон, алюминий, сталь и др.). Вне зависимости от вида материала, использующегося для производства кассеты, вся каркасная система формируется из унифицированных профилей типа </w:t>
      </w:r>
      <w:r w:rsidRPr="00CA7879">
        <w:rPr>
          <w:sz w:val="28"/>
          <w:szCs w:val="28"/>
          <w:lang w:val="en-US"/>
        </w:rPr>
        <w:t>T</w:t>
      </w:r>
      <w:r w:rsidRPr="00CA7879">
        <w:rPr>
          <w:sz w:val="28"/>
          <w:szCs w:val="28"/>
        </w:rPr>
        <w:t xml:space="preserve">-15 и Т-24, универсальных </w:t>
      </w:r>
      <w:r w:rsidRPr="00CA7879">
        <w:rPr>
          <w:sz w:val="28"/>
          <w:szCs w:val="28"/>
          <w:shd w:val="clear" w:color="auto" w:fill="FFFFFF"/>
        </w:rPr>
        <w:t>для монтажа различных кассет как из минерального волокна, так и из алюминия.</w:t>
      </w:r>
      <w:r w:rsidR="008B6B71">
        <w:rPr>
          <w:sz w:val="28"/>
          <w:szCs w:val="28"/>
          <w:shd w:val="clear" w:color="auto" w:fill="FFFFFF"/>
        </w:rPr>
        <w:t xml:space="preserve"> Конструктивная особенность позволяет встроить потолок даже при наличии неровностей или неправильной формы потолка здания. Комбинирование различны</w:t>
      </w:r>
      <w:r w:rsidR="009A5A70">
        <w:rPr>
          <w:sz w:val="28"/>
          <w:szCs w:val="28"/>
          <w:shd w:val="clear" w:color="auto" w:fill="FFFFFF"/>
        </w:rPr>
        <w:t>ми</w:t>
      </w:r>
      <w:r w:rsidR="008B6B71">
        <w:rPr>
          <w:sz w:val="28"/>
          <w:szCs w:val="28"/>
          <w:shd w:val="clear" w:color="auto" w:fill="FFFFFF"/>
        </w:rPr>
        <w:t xml:space="preserve"> тип</w:t>
      </w:r>
      <w:r w:rsidR="009A5A70">
        <w:rPr>
          <w:sz w:val="28"/>
          <w:szCs w:val="28"/>
          <w:shd w:val="clear" w:color="auto" w:fill="FFFFFF"/>
        </w:rPr>
        <w:t>ами</w:t>
      </w:r>
      <w:r w:rsidR="008B6B71">
        <w:rPr>
          <w:sz w:val="28"/>
          <w:szCs w:val="28"/>
          <w:shd w:val="clear" w:color="auto" w:fill="FFFFFF"/>
        </w:rPr>
        <w:t xml:space="preserve"> панелей</w:t>
      </w:r>
      <w:r w:rsidR="009A5A70">
        <w:rPr>
          <w:sz w:val="28"/>
          <w:szCs w:val="28"/>
          <w:shd w:val="clear" w:color="auto" w:fill="FFFFFF"/>
        </w:rPr>
        <w:t xml:space="preserve"> (материал, облицовка, цвет)</w:t>
      </w:r>
      <w:r w:rsidR="008B6B71">
        <w:rPr>
          <w:sz w:val="28"/>
          <w:szCs w:val="28"/>
          <w:shd w:val="clear" w:color="auto" w:fill="FFFFFF"/>
        </w:rPr>
        <w:t xml:space="preserve"> </w:t>
      </w:r>
      <w:r w:rsidR="009A5A70">
        <w:rPr>
          <w:sz w:val="28"/>
          <w:szCs w:val="28"/>
          <w:shd w:val="clear" w:color="auto" w:fill="FFFFFF"/>
        </w:rPr>
        <w:t>позволяет создавать индивидуальные интерьерные решения в зависимости от потребностей заказчика.</w:t>
      </w:r>
    </w:p>
    <w:p w14:paraId="5885A548" w14:textId="77777777" w:rsidR="006F3319" w:rsidRPr="00B52686" w:rsidRDefault="006F3319" w:rsidP="00CE567D">
      <w:pPr>
        <w:numPr>
          <w:ilvl w:val="0"/>
          <w:numId w:val="7"/>
        </w:numPr>
        <w:tabs>
          <w:tab w:val="clear" w:pos="720"/>
        </w:tabs>
        <w:ind w:left="0" w:firstLine="709"/>
        <w:jc w:val="both"/>
        <w:textAlignment w:val="baseline"/>
        <w:rPr>
          <w:sz w:val="28"/>
          <w:szCs w:val="28"/>
        </w:rPr>
      </w:pPr>
      <w:r w:rsidRPr="00B52686">
        <w:rPr>
          <w:rStyle w:val="2"/>
          <w:b w:val="0"/>
          <w:sz w:val="28"/>
          <w:szCs w:val="28"/>
        </w:rPr>
        <w:t xml:space="preserve">Ячеистые (Грильято) – </w:t>
      </w:r>
      <w:r w:rsidRPr="00B52686">
        <w:rPr>
          <w:sz w:val="28"/>
          <w:szCs w:val="28"/>
        </w:rPr>
        <w:t>представляет собой объемную решётчатую конструкцию, образованную U-образными алюминиевыми профилями, шириной 5, 10,15 мм и высотой 30, 32, 37, 40, 42, 47, 50 мм. Образованная профилем решетка состоит из ячеек следующих типоразмеров: 30х30, 50х50, 60х60, 75х75, 86х86, 100х100, 120х120, 150х150, 200х200.</w:t>
      </w:r>
      <w:r w:rsidR="00B52686">
        <w:rPr>
          <w:sz w:val="28"/>
          <w:szCs w:val="28"/>
        </w:rPr>
        <w:t xml:space="preserve"> </w:t>
      </w:r>
      <w:r w:rsidR="008B6B71" w:rsidRPr="00B52686">
        <w:rPr>
          <w:sz w:val="28"/>
          <w:szCs w:val="28"/>
        </w:rPr>
        <w:br/>
      </w:r>
      <w:r w:rsidR="00F20E6C" w:rsidRPr="00B52686">
        <w:rPr>
          <w:sz w:val="28"/>
          <w:szCs w:val="28"/>
        </w:rPr>
        <w:t>Отличаются высокой коррозионной стойкостью, влагостойкостью, и длительным сроком эксплуатации. Наряду с кассетным типом подвесных потолков, потолки типа «Грильято» обладают многообразием инженерных решений благодаря различным размерам ячеек, а также цветовых решений, за счет чего</w:t>
      </w:r>
      <w:r w:rsidR="00CE6F4A" w:rsidRPr="00B52686">
        <w:rPr>
          <w:sz w:val="28"/>
          <w:szCs w:val="28"/>
        </w:rPr>
        <w:t xml:space="preserve"> создаются разнообразные дизайнерские решения.</w:t>
      </w:r>
      <w:r w:rsidR="00F20E6C" w:rsidRPr="00B52686">
        <w:rPr>
          <w:sz w:val="28"/>
          <w:szCs w:val="28"/>
        </w:rPr>
        <w:t xml:space="preserve"> </w:t>
      </w:r>
      <w:r w:rsidRPr="00B52686">
        <w:rPr>
          <w:sz w:val="28"/>
          <w:szCs w:val="28"/>
        </w:rPr>
        <w:t>Особенность данного вида заключается в практически полной проницаемости межпотолочного пространства для потоков воздуха, что исключает образование там парогазовой подушки.</w:t>
      </w:r>
    </w:p>
    <w:p w14:paraId="1A22A5EF" w14:textId="77777777" w:rsidR="006F3319" w:rsidRDefault="006F3319" w:rsidP="00315BD1">
      <w:pPr>
        <w:numPr>
          <w:ilvl w:val="0"/>
          <w:numId w:val="7"/>
        </w:numPr>
        <w:ind w:left="0" w:firstLine="709"/>
        <w:jc w:val="both"/>
        <w:textAlignment w:val="baseline"/>
        <w:rPr>
          <w:sz w:val="28"/>
          <w:szCs w:val="28"/>
        </w:rPr>
      </w:pPr>
      <w:r w:rsidRPr="00CA7879">
        <w:rPr>
          <w:sz w:val="28"/>
          <w:szCs w:val="28"/>
        </w:rPr>
        <w:t>Реечные – конструкция, состоящая из</w:t>
      </w:r>
      <w:r w:rsidRPr="00347243">
        <w:rPr>
          <w:sz w:val="28"/>
          <w:szCs w:val="28"/>
        </w:rPr>
        <w:t xml:space="preserve"> панелей определенного размера, которые крепятся на каркасе-профиле (система траверс-стрингер) с направляющими. Сами потолочные покрытия, также могут быть изготовлены из различных материалов, таких как алюминий, пластик и т.п.</w:t>
      </w:r>
      <w:r w:rsidR="00CE6F4A">
        <w:rPr>
          <w:sz w:val="28"/>
          <w:szCs w:val="28"/>
        </w:rPr>
        <w:t xml:space="preserve"> Многообразие декоративных покрытий и различные форматы реек (прямоугольные</w:t>
      </w:r>
      <w:r w:rsidR="00CE6F4A" w:rsidRPr="00CE6F4A">
        <w:rPr>
          <w:sz w:val="28"/>
          <w:szCs w:val="28"/>
        </w:rPr>
        <w:t xml:space="preserve">; </w:t>
      </w:r>
      <w:r w:rsidR="00CE6F4A">
        <w:rPr>
          <w:sz w:val="28"/>
          <w:szCs w:val="28"/>
          <w:lang w:val="en-US"/>
        </w:rPr>
        <w:t>S</w:t>
      </w:r>
      <w:r w:rsidR="00CE6F4A" w:rsidRPr="00CE6F4A">
        <w:rPr>
          <w:sz w:val="28"/>
          <w:szCs w:val="28"/>
        </w:rPr>
        <w:t>-</w:t>
      </w:r>
      <w:r w:rsidR="00CE6F4A">
        <w:rPr>
          <w:sz w:val="28"/>
          <w:szCs w:val="28"/>
        </w:rPr>
        <w:t>дизайн</w:t>
      </w:r>
      <w:r w:rsidR="00CE6F4A" w:rsidRPr="00CE6F4A">
        <w:rPr>
          <w:sz w:val="28"/>
          <w:szCs w:val="28"/>
        </w:rPr>
        <w:t xml:space="preserve">; </w:t>
      </w:r>
      <w:r w:rsidR="00CE6F4A">
        <w:rPr>
          <w:sz w:val="28"/>
          <w:szCs w:val="28"/>
          <w:lang w:val="en-US"/>
        </w:rPr>
        <w:t>V</w:t>
      </w:r>
      <w:r w:rsidR="00CE6F4A" w:rsidRPr="00CE6F4A">
        <w:rPr>
          <w:sz w:val="28"/>
          <w:szCs w:val="28"/>
        </w:rPr>
        <w:t>-</w:t>
      </w:r>
      <w:r w:rsidR="00CE6F4A">
        <w:rPr>
          <w:sz w:val="28"/>
          <w:szCs w:val="28"/>
        </w:rPr>
        <w:t>образный</w:t>
      </w:r>
      <w:r w:rsidR="00CE6F4A" w:rsidRPr="00CE6F4A">
        <w:rPr>
          <w:sz w:val="28"/>
          <w:szCs w:val="28"/>
        </w:rPr>
        <w:t xml:space="preserve">; </w:t>
      </w:r>
      <w:r w:rsidR="00CE6F4A">
        <w:rPr>
          <w:sz w:val="28"/>
          <w:szCs w:val="28"/>
        </w:rPr>
        <w:t>пластинообразный) позволяют удовлетворить различные индивидуальные потребности покупателей.</w:t>
      </w:r>
    </w:p>
    <w:p w14:paraId="3E446F15" w14:textId="77777777" w:rsidR="009770E9" w:rsidRDefault="009770E9" w:rsidP="00315BD1">
      <w:pPr>
        <w:pStyle w:val="a8"/>
        <w:ind w:firstLine="709"/>
        <w:rPr>
          <w:szCs w:val="28"/>
        </w:rPr>
      </w:pPr>
      <w:r w:rsidRPr="00EF7C7E">
        <w:rPr>
          <w:szCs w:val="28"/>
        </w:rPr>
        <w:t>Таким образом,</w:t>
      </w:r>
      <w:r>
        <w:rPr>
          <w:szCs w:val="28"/>
        </w:rPr>
        <w:t xml:space="preserve"> можно сделать вывод, что</w:t>
      </w:r>
      <w:r w:rsidRPr="00EF7C7E">
        <w:rPr>
          <w:szCs w:val="28"/>
        </w:rPr>
        <w:t xml:space="preserve"> рассматриваемые </w:t>
      </w:r>
      <w:r>
        <w:rPr>
          <w:szCs w:val="28"/>
        </w:rPr>
        <w:t>подвесные потолочные системы представляют собой целостную конструкцию, состоящую из различных облицовочных элементов, а также подвесных и каркасных звеньев</w:t>
      </w:r>
      <w:r w:rsidR="00FB713E">
        <w:rPr>
          <w:szCs w:val="28"/>
        </w:rPr>
        <w:t xml:space="preserve"> </w:t>
      </w:r>
      <w:r w:rsidR="00FB713E" w:rsidRPr="00347243">
        <w:rPr>
          <w:szCs w:val="28"/>
        </w:rPr>
        <w:t>конструктивно связанных между собой с целью обеспечения определенных функциональных, архитектурных, эргономических и других задач в устанавливаемых помещениях зданий и сооружений.</w:t>
      </w:r>
    </w:p>
    <w:p w14:paraId="62664760" w14:textId="085DFE57" w:rsidR="00083E60" w:rsidRDefault="00083E60" w:rsidP="00315BD1">
      <w:pPr>
        <w:pStyle w:val="a8"/>
        <w:ind w:firstLine="709"/>
        <w:rPr>
          <w:szCs w:val="28"/>
        </w:rPr>
      </w:pPr>
      <w:r w:rsidRPr="00BA1773">
        <w:rPr>
          <w:szCs w:val="28"/>
        </w:rPr>
        <w:t>Несмотря на широкий спектр, обусловленный многоо</w:t>
      </w:r>
      <w:r w:rsidRPr="004A2312">
        <w:rPr>
          <w:szCs w:val="28"/>
        </w:rPr>
        <w:t xml:space="preserve">бразием </w:t>
      </w:r>
      <w:r w:rsidR="00CE6F4A">
        <w:rPr>
          <w:szCs w:val="28"/>
        </w:rPr>
        <w:t>облицовочных поверхностей, цветовых, а также форматных решений</w:t>
      </w:r>
      <w:r w:rsidRPr="004A2312">
        <w:rPr>
          <w:szCs w:val="28"/>
        </w:rPr>
        <w:t>,</w:t>
      </w:r>
      <w:r w:rsidRPr="00805DBD">
        <w:rPr>
          <w:szCs w:val="28"/>
        </w:rPr>
        <w:t xml:space="preserve"> </w:t>
      </w:r>
      <w:r w:rsidR="00CE6F4A">
        <w:rPr>
          <w:szCs w:val="28"/>
        </w:rPr>
        <w:t xml:space="preserve">подвесных потолочных </w:t>
      </w:r>
      <w:r w:rsidR="005F72D7">
        <w:rPr>
          <w:szCs w:val="28"/>
        </w:rPr>
        <w:t>конструкций</w:t>
      </w:r>
      <w:r w:rsidRPr="00805DBD">
        <w:rPr>
          <w:szCs w:val="28"/>
        </w:rPr>
        <w:t xml:space="preserve"> их </w:t>
      </w:r>
      <w:r w:rsidR="00CE6F4A">
        <w:rPr>
          <w:szCs w:val="28"/>
        </w:rPr>
        <w:t>функциональное назначение</w:t>
      </w:r>
      <w:r w:rsidR="00745AE8">
        <w:rPr>
          <w:szCs w:val="28"/>
        </w:rPr>
        <w:t>,</w:t>
      </w:r>
      <w:r w:rsidR="00CE6F4A">
        <w:rPr>
          <w:szCs w:val="28"/>
        </w:rPr>
        <w:t xml:space="preserve"> а также распрост</w:t>
      </w:r>
      <w:r w:rsidR="00387396">
        <w:rPr>
          <w:szCs w:val="28"/>
        </w:rPr>
        <w:t>р</w:t>
      </w:r>
      <w:r w:rsidR="00CE6F4A">
        <w:rPr>
          <w:szCs w:val="28"/>
        </w:rPr>
        <w:t>анение идентичны</w:t>
      </w:r>
      <w:r w:rsidR="00387396">
        <w:rPr>
          <w:szCs w:val="28"/>
        </w:rPr>
        <w:t>.</w:t>
      </w:r>
    </w:p>
    <w:p w14:paraId="08CD2A69" w14:textId="77777777" w:rsidR="00387396" w:rsidRDefault="00387396" w:rsidP="00315BD1">
      <w:pPr>
        <w:pStyle w:val="a8"/>
        <w:ind w:firstLine="709"/>
        <w:rPr>
          <w:szCs w:val="28"/>
        </w:rPr>
      </w:pPr>
      <w:r>
        <w:rPr>
          <w:szCs w:val="28"/>
        </w:rPr>
        <w:lastRenderedPageBreak/>
        <w:t xml:space="preserve">В основном подвесные потолочные </w:t>
      </w:r>
      <w:r w:rsidR="005F72D7">
        <w:rPr>
          <w:szCs w:val="28"/>
        </w:rPr>
        <w:t>конструкции</w:t>
      </w:r>
      <w:r>
        <w:rPr>
          <w:szCs w:val="28"/>
        </w:rPr>
        <w:t xml:space="preserve"> применяются во внутренних нежилых помещениях таких как: офисы</w:t>
      </w:r>
      <w:r w:rsidR="0025504E">
        <w:rPr>
          <w:szCs w:val="28"/>
        </w:rPr>
        <w:t xml:space="preserve"> (гостиницы, конференц-залы)</w:t>
      </w:r>
      <w:r>
        <w:rPr>
          <w:szCs w:val="28"/>
        </w:rPr>
        <w:t>, торговые</w:t>
      </w:r>
      <w:r w:rsidR="0025504E">
        <w:rPr>
          <w:szCs w:val="28"/>
        </w:rPr>
        <w:t xml:space="preserve"> и развлекательные</w:t>
      </w:r>
      <w:r>
        <w:rPr>
          <w:szCs w:val="28"/>
        </w:rPr>
        <w:t xml:space="preserve"> центры, </w:t>
      </w:r>
      <w:r w:rsidR="0025504E">
        <w:rPr>
          <w:szCs w:val="28"/>
        </w:rPr>
        <w:t xml:space="preserve">спортивные и выставочные помещения, </w:t>
      </w:r>
      <w:r>
        <w:rPr>
          <w:szCs w:val="28"/>
        </w:rPr>
        <w:t>административные здания, объекты транспортной инфраструктуры,</w:t>
      </w:r>
      <w:r w:rsidR="00E01732">
        <w:rPr>
          <w:szCs w:val="28"/>
        </w:rPr>
        <w:t xml:space="preserve"> помещениях общественного питания</w:t>
      </w:r>
      <w:r w:rsidR="0025504E">
        <w:rPr>
          <w:szCs w:val="28"/>
        </w:rPr>
        <w:t xml:space="preserve"> и пр</w:t>
      </w:r>
      <w:r w:rsidR="00E01732">
        <w:rPr>
          <w:szCs w:val="28"/>
        </w:rPr>
        <w:t>.</w:t>
      </w:r>
    </w:p>
    <w:p w14:paraId="41E0AD46" w14:textId="77777777" w:rsidR="0025504E" w:rsidRDefault="004B5A97" w:rsidP="00315BD1">
      <w:pPr>
        <w:pStyle w:val="a8"/>
        <w:ind w:firstLine="709"/>
        <w:rPr>
          <w:szCs w:val="28"/>
        </w:rPr>
      </w:pPr>
      <w:r>
        <w:rPr>
          <w:szCs w:val="28"/>
        </w:rPr>
        <w:t xml:space="preserve">Идентичными характеристиками для всех видов подвесных потолочных </w:t>
      </w:r>
      <w:r w:rsidR="005F72D7">
        <w:rPr>
          <w:szCs w:val="28"/>
        </w:rPr>
        <w:t>конструкций</w:t>
      </w:r>
      <w:r>
        <w:rPr>
          <w:szCs w:val="28"/>
        </w:rPr>
        <w:t xml:space="preserve"> являются:</w:t>
      </w:r>
    </w:p>
    <w:p w14:paraId="636439EF" w14:textId="77777777" w:rsidR="004B5A97" w:rsidRPr="004B5A97" w:rsidRDefault="004B5A97" w:rsidP="00315BD1">
      <w:pPr>
        <w:pStyle w:val="a8"/>
        <w:numPr>
          <w:ilvl w:val="0"/>
          <w:numId w:val="25"/>
        </w:numPr>
        <w:ind w:left="1134" w:hanging="283"/>
        <w:rPr>
          <w:szCs w:val="28"/>
        </w:rPr>
      </w:pPr>
      <w:r>
        <w:rPr>
          <w:szCs w:val="28"/>
        </w:rPr>
        <w:t>удобство и простота монтажа</w:t>
      </w:r>
      <w:r w:rsidRPr="00315BD1">
        <w:rPr>
          <w:szCs w:val="28"/>
        </w:rPr>
        <w:t>;</w:t>
      </w:r>
    </w:p>
    <w:p w14:paraId="170F680F" w14:textId="77777777" w:rsidR="004B5A97" w:rsidRPr="004B5A97" w:rsidRDefault="004B5A97" w:rsidP="00315BD1">
      <w:pPr>
        <w:pStyle w:val="a8"/>
        <w:numPr>
          <w:ilvl w:val="0"/>
          <w:numId w:val="25"/>
        </w:numPr>
        <w:ind w:left="1134" w:hanging="283"/>
        <w:rPr>
          <w:szCs w:val="28"/>
        </w:rPr>
      </w:pPr>
      <w:r>
        <w:rPr>
          <w:szCs w:val="28"/>
        </w:rPr>
        <w:t>возможность «скрыть» инженерные коммуникации, а также обеспечение беспрепятственного доступа к последним</w:t>
      </w:r>
      <w:r w:rsidRPr="004B5A97">
        <w:rPr>
          <w:szCs w:val="28"/>
        </w:rPr>
        <w:t>;</w:t>
      </w:r>
    </w:p>
    <w:p w14:paraId="4517BFF2" w14:textId="77777777" w:rsidR="004B5A97" w:rsidRPr="004B5A97" w:rsidRDefault="004B5A97" w:rsidP="00315BD1">
      <w:pPr>
        <w:pStyle w:val="a8"/>
        <w:numPr>
          <w:ilvl w:val="0"/>
          <w:numId w:val="25"/>
        </w:numPr>
        <w:ind w:left="1134" w:hanging="283"/>
        <w:rPr>
          <w:szCs w:val="28"/>
        </w:rPr>
      </w:pPr>
      <w:r>
        <w:rPr>
          <w:szCs w:val="28"/>
        </w:rPr>
        <w:t>длительный срок эксплуатации</w:t>
      </w:r>
      <w:r w:rsidRPr="00315BD1">
        <w:rPr>
          <w:szCs w:val="28"/>
        </w:rPr>
        <w:t>;</w:t>
      </w:r>
    </w:p>
    <w:p w14:paraId="3B2B7F1B" w14:textId="77777777" w:rsidR="00E01732" w:rsidRPr="005F72D7" w:rsidRDefault="004B5A97" w:rsidP="00315BD1">
      <w:pPr>
        <w:pStyle w:val="a8"/>
        <w:numPr>
          <w:ilvl w:val="0"/>
          <w:numId w:val="25"/>
        </w:numPr>
        <w:ind w:left="1134" w:hanging="283"/>
        <w:rPr>
          <w:szCs w:val="28"/>
        </w:rPr>
      </w:pPr>
      <w:r>
        <w:rPr>
          <w:szCs w:val="28"/>
        </w:rPr>
        <w:t>требования к пожар</w:t>
      </w:r>
      <w:r w:rsidR="001961A8">
        <w:rPr>
          <w:szCs w:val="28"/>
        </w:rPr>
        <w:t xml:space="preserve">ной </w:t>
      </w:r>
      <w:r>
        <w:rPr>
          <w:szCs w:val="28"/>
        </w:rPr>
        <w:t>безопасности</w:t>
      </w:r>
      <w:r w:rsidR="005F72D7" w:rsidRPr="00315BD1">
        <w:rPr>
          <w:szCs w:val="28"/>
        </w:rPr>
        <w:t>;</w:t>
      </w:r>
    </w:p>
    <w:p w14:paraId="0EB800A2" w14:textId="77777777" w:rsidR="00C272B1" w:rsidRDefault="00E974A6" w:rsidP="00315BD1">
      <w:pPr>
        <w:pStyle w:val="a8"/>
        <w:numPr>
          <w:ilvl w:val="0"/>
          <w:numId w:val="25"/>
        </w:numPr>
        <w:ind w:left="1134" w:hanging="283"/>
        <w:rPr>
          <w:szCs w:val="28"/>
        </w:rPr>
      </w:pPr>
      <w:r>
        <w:rPr>
          <w:szCs w:val="28"/>
        </w:rPr>
        <w:t xml:space="preserve">в случае необходимости ремонта, целостность конструкции легко </w:t>
      </w:r>
      <w:r w:rsidRPr="001D18A9">
        <w:rPr>
          <w:szCs w:val="28"/>
        </w:rPr>
        <w:t>восстановима</w:t>
      </w:r>
      <w:r>
        <w:rPr>
          <w:szCs w:val="28"/>
        </w:rPr>
        <w:t xml:space="preserve"> за счет секционной составляющей.</w:t>
      </w:r>
    </w:p>
    <w:p w14:paraId="43FD07D1" w14:textId="77777777" w:rsidR="00C272B1" w:rsidRDefault="00C272B1" w:rsidP="00315BD1">
      <w:pPr>
        <w:ind w:firstLine="709"/>
        <w:jc w:val="both"/>
        <w:textAlignment w:val="baseline"/>
        <w:rPr>
          <w:sz w:val="28"/>
          <w:szCs w:val="28"/>
        </w:rPr>
      </w:pPr>
      <w:r w:rsidRPr="00347243">
        <w:rPr>
          <w:sz w:val="28"/>
          <w:szCs w:val="28"/>
        </w:rPr>
        <w:t>Согласно информации, представленной участниками рынка</w:t>
      </w:r>
      <w:r w:rsidR="00B2186E">
        <w:rPr>
          <w:sz w:val="28"/>
          <w:szCs w:val="28"/>
        </w:rPr>
        <w:t>, в ответ на запросы ФАС России,</w:t>
      </w:r>
      <w:r w:rsidRPr="00347243">
        <w:rPr>
          <w:sz w:val="28"/>
          <w:szCs w:val="28"/>
        </w:rPr>
        <w:t xml:space="preserve"> </w:t>
      </w:r>
      <w:r w:rsidR="00FB713E">
        <w:rPr>
          <w:sz w:val="28"/>
          <w:szCs w:val="28"/>
        </w:rPr>
        <w:t>подвесные потолочные конструкции являются абсолютно взаимозаменяемы между собой, а выбор отдельного вида определяется желанием заказчика и (или) дизайнера (архитектора). Единообразие качественных, технических, и эксплуатационных характеристик обеспечивается за счет использования однородных идентичных материалов и выполнения требования технических условий.</w:t>
      </w:r>
    </w:p>
    <w:p w14:paraId="5D21A2E8" w14:textId="77777777" w:rsidR="00FB713E" w:rsidRPr="00EF7C7E" w:rsidRDefault="00FB713E" w:rsidP="00315BD1">
      <w:pPr>
        <w:pStyle w:val="a8"/>
        <w:ind w:firstLine="709"/>
        <w:rPr>
          <w:szCs w:val="28"/>
        </w:rPr>
      </w:pPr>
      <w:r w:rsidRPr="00EF7C7E">
        <w:rPr>
          <w:szCs w:val="28"/>
        </w:rPr>
        <w:t>В целях выявления взаимозаменяемых товаров с рассматриваемыми подвижными ограждающими конструкциями ФАС России не проводился опрос  потребителей («тест гипотетического монополиста») в соответствии с пунктом 3.9 Порядка проведения анализа по следующим обстоятельствам:</w:t>
      </w:r>
    </w:p>
    <w:p w14:paraId="6E739125" w14:textId="77777777" w:rsidR="00FB713E" w:rsidRPr="000210B9" w:rsidRDefault="00FB713E" w:rsidP="00315BD1">
      <w:pPr>
        <w:pStyle w:val="a8"/>
        <w:numPr>
          <w:ilvl w:val="0"/>
          <w:numId w:val="13"/>
        </w:numPr>
        <w:tabs>
          <w:tab w:val="clear" w:pos="10206"/>
        </w:tabs>
        <w:ind w:left="0" w:firstLine="709"/>
        <w:rPr>
          <w:szCs w:val="28"/>
        </w:rPr>
      </w:pPr>
      <w:r w:rsidRPr="00EF7C7E">
        <w:rPr>
          <w:szCs w:val="28"/>
        </w:rPr>
        <w:t>Конечными потребителями товара являются</w:t>
      </w:r>
      <w:r w:rsidR="00B2186E">
        <w:rPr>
          <w:szCs w:val="28"/>
        </w:rPr>
        <w:t xml:space="preserve"> как юридические</w:t>
      </w:r>
      <w:r w:rsidR="00B52686">
        <w:rPr>
          <w:szCs w:val="28"/>
        </w:rPr>
        <w:t>,</w:t>
      </w:r>
      <w:r w:rsidR="00B2186E">
        <w:rPr>
          <w:szCs w:val="28"/>
        </w:rPr>
        <w:t xml:space="preserve"> так </w:t>
      </w:r>
      <w:r w:rsidR="00B52686">
        <w:rPr>
          <w:szCs w:val="28"/>
        </w:rPr>
        <w:t xml:space="preserve">и </w:t>
      </w:r>
      <w:r w:rsidR="00B2186E">
        <w:rPr>
          <w:szCs w:val="28"/>
        </w:rPr>
        <w:t>физические лица, приобретающие продукцию не на постоянной основе</w:t>
      </w:r>
      <w:r w:rsidR="00B52686">
        <w:rPr>
          <w:szCs w:val="28"/>
        </w:rPr>
        <w:t>,</w:t>
      </w:r>
      <w:r w:rsidR="00B2186E">
        <w:rPr>
          <w:szCs w:val="28"/>
        </w:rPr>
        <w:t xml:space="preserve"> а единоразово</w:t>
      </w:r>
      <w:r w:rsidR="00B52686">
        <w:rPr>
          <w:szCs w:val="28"/>
        </w:rPr>
        <w:t>,</w:t>
      </w:r>
      <w:r w:rsidR="00B2186E">
        <w:rPr>
          <w:szCs w:val="28"/>
        </w:rPr>
        <w:t xml:space="preserve"> для собственного потребления с длительным сроком эксплуатации, более 10-15 лет. </w:t>
      </w:r>
    </w:p>
    <w:p w14:paraId="629423BD" w14:textId="77777777" w:rsidR="00FB713E" w:rsidRPr="00805DBD" w:rsidRDefault="00FB713E" w:rsidP="00315BD1">
      <w:pPr>
        <w:pStyle w:val="a8"/>
        <w:numPr>
          <w:ilvl w:val="0"/>
          <w:numId w:val="13"/>
        </w:numPr>
        <w:tabs>
          <w:tab w:val="clear" w:pos="10206"/>
        </w:tabs>
        <w:ind w:left="0" w:firstLine="709"/>
        <w:rPr>
          <w:szCs w:val="28"/>
        </w:rPr>
      </w:pPr>
      <w:r w:rsidRPr="00BA1773">
        <w:rPr>
          <w:szCs w:val="28"/>
        </w:rPr>
        <w:t>Единое функциональное применение</w:t>
      </w:r>
      <w:r w:rsidR="00B2186E">
        <w:rPr>
          <w:szCs w:val="28"/>
        </w:rPr>
        <w:t xml:space="preserve"> различных видов подвесных потолочных конструкций.</w:t>
      </w:r>
    </w:p>
    <w:p w14:paraId="682BE7B1" w14:textId="77777777" w:rsidR="00FB713E" w:rsidRPr="00EF7C7E" w:rsidRDefault="00FB713E" w:rsidP="00315BD1">
      <w:pPr>
        <w:pStyle w:val="a8"/>
        <w:numPr>
          <w:ilvl w:val="0"/>
          <w:numId w:val="13"/>
        </w:numPr>
        <w:tabs>
          <w:tab w:val="clear" w:pos="10206"/>
        </w:tabs>
        <w:ind w:left="0" w:firstLine="709"/>
        <w:rPr>
          <w:szCs w:val="28"/>
        </w:rPr>
      </w:pPr>
      <w:r w:rsidRPr="00763A5C">
        <w:rPr>
          <w:szCs w:val="28"/>
        </w:rPr>
        <w:t>Высокое влияние фактора индивидуальных предпочтений конечных потребителей в зависимости от технических</w:t>
      </w:r>
      <w:r w:rsidR="00B2186E">
        <w:rPr>
          <w:szCs w:val="28"/>
        </w:rPr>
        <w:t xml:space="preserve"> и эксплуатационных</w:t>
      </w:r>
      <w:r w:rsidRPr="00763A5C">
        <w:rPr>
          <w:szCs w:val="28"/>
        </w:rPr>
        <w:t xml:space="preserve"> характеристик</w:t>
      </w:r>
      <w:r w:rsidRPr="00EF7C7E">
        <w:rPr>
          <w:szCs w:val="28"/>
        </w:rPr>
        <w:t xml:space="preserve"> (тепло звукоизоляция; устойчивость к коррозии), эстетического внешнего вида конструкций (</w:t>
      </w:r>
      <w:r w:rsidR="00B2186E">
        <w:rPr>
          <w:szCs w:val="28"/>
        </w:rPr>
        <w:t>облицовочные материалы, эффект «объемности»</w:t>
      </w:r>
      <w:r w:rsidRPr="00EF7C7E">
        <w:rPr>
          <w:szCs w:val="28"/>
        </w:rPr>
        <w:t>)</w:t>
      </w:r>
      <w:r w:rsidR="00B52686">
        <w:rPr>
          <w:szCs w:val="28"/>
        </w:rPr>
        <w:t>,</w:t>
      </w:r>
      <w:r w:rsidRPr="00EF7C7E">
        <w:rPr>
          <w:szCs w:val="28"/>
        </w:rPr>
        <w:t xml:space="preserve"> архитектурных особенностей зданий и сооружений (</w:t>
      </w:r>
      <w:r w:rsidR="00B2186E">
        <w:rPr>
          <w:szCs w:val="28"/>
        </w:rPr>
        <w:t>с наличием инженерных коммуникаций (вентиляции, электропроводка)</w:t>
      </w:r>
      <w:r w:rsidRPr="00EF7C7E">
        <w:rPr>
          <w:szCs w:val="28"/>
        </w:rPr>
        <w:t>),</w:t>
      </w:r>
      <w:r>
        <w:rPr>
          <w:szCs w:val="28"/>
        </w:rPr>
        <w:t xml:space="preserve"> </w:t>
      </w:r>
      <w:r w:rsidRPr="00763A5C">
        <w:rPr>
          <w:szCs w:val="28"/>
        </w:rPr>
        <w:t>сложности монтажа</w:t>
      </w:r>
      <w:r w:rsidRPr="00EF7C7E">
        <w:rPr>
          <w:szCs w:val="28"/>
        </w:rPr>
        <w:t xml:space="preserve"> (</w:t>
      </w:r>
      <w:r w:rsidR="00B2186E">
        <w:rPr>
          <w:szCs w:val="28"/>
        </w:rPr>
        <w:t>наличие неровностей на основном потолке помещения</w:t>
      </w:r>
      <w:r w:rsidRPr="00BA1773">
        <w:rPr>
          <w:szCs w:val="28"/>
        </w:rPr>
        <w:t>)</w:t>
      </w:r>
      <w:r w:rsidR="00B2186E" w:rsidRPr="00B2186E">
        <w:rPr>
          <w:szCs w:val="28"/>
        </w:rPr>
        <w:t>;</w:t>
      </w:r>
    </w:p>
    <w:p w14:paraId="77646FED" w14:textId="77777777" w:rsidR="00FB713E" w:rsidRPr="00EF7C7E" w:rsidRDefault="00B2186E" w:rsidP="00315BD1">
      <w:pPr>
        <w:pStyle w:val="a8"/>
        <w:numPr>
          <w:ilvl w:val="0"/>
          <w:numId w:val="13"/>
        </w:numPr>
        <w:tabs>
          <w:tab w:val="clear" w:pos="10206"/>
        </w:tabs>
        <w:ind w:left="0" w:firstLine="709"/>
        <w:rPr>
          <w:szCs w:val="28"/>
        </w:rPr>
      </w:pPr>
      <w:r>
        <w:rPr>
          <w:szCs w:val="28"/>
        </w:rPr>
        <w:t>Участники рассматриваемой сделки осуществляют выпуск нескольких видов подвесных потолочных конструкций.</w:t>
      </w:r>
    </w:p>
    <w:p w14:paraId="6326D640" w14:textId="77777777" w:rsidR="00FB713E" w:rsidRDefault="00FB713E" w:rsidP="00315BD1">
      <w:pPr>
        <w:autoSpaceDE w:val="0"/>
        <w:autoSpaceDN w:val="0"/>
        <w:adjustRightInd w:val="0"/>
        <w:ind w:firstLine="709"/>
        <w:jc w:val="both"/>
        <w:rPr>
          <w:sz w:val="28"/>
          <w:szCs w:val="28"/>
        </w:rPr>
      </w:pPr>
      <w:r w:rsidRPr="00EF7C7E">
        <w:rPr>
          <w:sz w:val="28"/>
          <w:szCs w:val="28"/>
        </w:rPr>
        <w:t xml:space="preserve">Таким образом, исходя из выявленных свойств рассматриваемого товара, определяющих выбор потребителей и доступной антимонопольному органу информации </w:t>
      </w:r>
      <w:r w:rsidR="009B6045">
        <w:rPr>
          <w:sz w:val="28"/>
          <w:szCs w:val="28"/>
        </w:rPr>
        <w:t>в целях</w:t>
      </w:r>
      <w:r w:rsidRPr="00EF7C7E">
        <w:rPr>
          <w:sz w:val="28"/>
          <w:szCs w:val="28"/>
        </w:rPr>
        <w:t xml:space="preserve"> </w:t>
      </w:r>
      <w:r w:rsidRPr="000210B9">
        <w:rPr>
          <w:sz w:val="28"/>
          <w:szCs w:val="28"/>
        </w:rPr>
        <w:t xml:space="preserve">принятии </w:t>
      </w:r>
      <w:r w:rsidRPr="00BA1773">
        <w:rPr>
          <w:sz w:val="28"/>
          <w:szCs w:val="28"/>
        </w:rPr>
        <w:t>решения в рамках государственного контроля за экономической концентрацией</w:t>
      </w:r>
      <w:r w:rsidRPr="004A2312">
        <w:rPr>
          <w:sz w:val="28"/>
          <w:szCs w:val="28"/>
        </w:rPr>
        <w:t xml:space="preserve"> </w:t>
      </w:r>
      <w:r w:rsidRPr="00CE567D">
        <w:rPr>
          <w:b/>
          <w:sz w:val="28"/>
          <w:szCs w:val="28"/>
        </w:rPr>
        <w:t xml:space="preserve">установлено, что продуктовыми границами </w:t>
      </w:r>
      <w:r w:rsidRPr="00CE567D">
        <w:rPr>
          <w:b/>
          <w:sz w:val="28"/>
          <w:szCs w:val="28"/>
        </w:rPr>
        <w:lastRenderedPageBreak/>
        <w:t>исследуемого рынка являются</w:t>
      </w:r>
      <w:r w:rsidR="00B2186E" w:rsidRPr="00CE567D">
        <w:rPr>
          <w:b/>
          <w:sz w:val="28"/>
          <w:szCs w:val="28"/>
        </w:rPr>
        <w:t xml:space="preserve"> подвесные потолочные конструкции</w:t>
      </w:r>
      <w:r w:rsidR="00AF1A76" w:rsidRPr="00CE567D">
        <w:rPr>
          <w:b/>
          <w:sz w:val="28"/>
          <w:szCs w:val="28"/>
        </w:rPr>
        <w:t xml:space="preserve"> (системы)</w:t>
      </w:r>
      <w:r w:rsidR="00AF1A76">
        <w:rPr>
          <w:b/>
          <w:sz w:val="28"/>
          <w:szCs w:val="28"/>
        </w:rPr>
        <w:t xml:space="preserve"> в целом</w:t>
      </w:r>
      <w:r w:rsidR="00B2186E">
        <w:rPr>
          <w:sz w:val="28"/>
          <w:szCs w:val="28"/>
        </w:rPr>
        <w:t>.</w:t>
      </w:r>
    </w:p>
    <w:p w14:paraId="63F63887" w14:textId="77777777" w:rsidR="000F1D16" w:rsidRDefault="009B6045" w:rsidP="00315BD1">
      <w:pPr>
        <w:autoSpaceDE w:val="0"/>
        <w:autoSpaceDN w:val="0"/>
        <w:adjustRightInd w:val="0"/>
        <w:ind w:firstLine="709"/>
        <w:jc w:val="both"/>
        <w:rPr>
          <w:sz w:val="28"/>
          <w:szCs w:val="28"/>
        </w:rPr>
      </w:pPr>
      <w:r w:rsidRPr="00A129F5">
        <w:rPr>
          <w:sz w:val="28"/>
          <w:szCs w:val="28"/>
        </w:rPr>
        <w:t>Тем не менее, в зависимости от целей исследования продуктовые границы подвесных потолочных конструкций могут существенно сужаться до отдельных видов потолочных систем с соответствующими качественными</w:t>
      </w:r>
      <w:r w:rsidR="00A129F5" w:rsidRPr="00A129F5">
        <w:rPr>
          <w:sz w:val="28"/>
          <w:szCs w:val="28"/>
        </w:rPr>
        <w:t xml:space="preserve"> и техническими</w:t>
      </w:r>
      <w:r w:rsidRPr="00A129F5">
        <w:rPr>
          <w:sz w:val="28"/>
          <w:szCs w:val="28"/>
        </w:rPr>
        <w:t xml:space="preserve"> характеристика</w:t>
      </w:r>
      <w:r w:rsidR="00A129F5">
        <w:rPr>
          <w:sz w:val="28"/>
          <w:szCs w:val="28"/>
        </w:rPr>
        <w:t>ми.</w:t>
      </w:r>
    </w:p>
    <w:p w14:paraId="224A98AD" w14:textId="77777777" w:rsidR="0054305D" w:rsidRPr="00CE567D" w:rsidRDefault="0033001A" w:rsidP="00FC489D">
      <w:pPr>
        <w:pStyle w:val="1"/>
        <w:jc w:val="center"/>
        <w:rPr>
          <w:rFonts w:ascii="Times New Roman" w:hAnsi="Times New Roman" w:cs="Times New Roman"/>
          <w:color w:val="auto"/>
        </w:rPr>
      </w:pPr>
      <w:bookmarkStart w:id="7" w:name="_Toc517465188"/>
      <w:bookmarkStart w:id="8" w:name="_Toc522003962"/>
      <w:r w:rsidRPr="00647628">
        <w:rPr>
          <w:rFonts w:ascii="Times New Roman" w:hAnsi="Times New Roman" w:cs="Times New Roman"/>
          <w:b/>
          <w:color w:val="auto"/>
          <w:lang w:val="en-US"/>
        </w:rPr>
        <w:t>IV</w:t>
      </w:r>
      <w:r w:rsidRPr="00647628">
        <w:rPr>
          <w:rFonts w:ascii="Times New Roman" w:hAnsi="Times New Roman" w:cs="Times New Roman"/>
          <w:b/>
          <w:color w:val="auto"/>
        </w:rPr>
        <w:t>.</w:t>
      </w:r>
      <w:r w:rsidRPr="00CE567D">
        <w:rPr>
          <w:rFonts w:ascii="Times New Roman" w:hAnsi="Times New Roman" w:cs="Times New Roman"/>
          <w:color w:val="auto"/>
        </w:rPr>
        <w:t xml:space="preserve"> </w:t>
      </w:r>
      <w:r w:rsidR="004B705C" w:rsidRPr="00CE567D">
        <w:rPr>
          <w:rFonts w:ascii="Times New Roman" w:hAnsi="Times New Roman" w:cs="Times New Roman"/>
          <w:b/>
          <w:color w:val="auto"/>
          <w:sz w:val="36"/>
        </w:rPr>
        <w:t>О</w:t>
      </w:r>
      <w:r w:rsidR="0054305D" w:rsidRPr="00CE567D">
        <w:rPr>
          <w:rFonts w:ascii="Times New Roman" w:hAnsi="Times New Roman" w:cs="Times New Roman"/>
          <w:b/>
          <w:color w:val="auto"/>
          <w:sz w:val="36"/>
        </w:rPr>
        <w:t>пределение географических границ товарного рынка</w:t>
      </w:r>
      <w:bookmarkEnd w:id="7"/>
      <w:bookmarkEnd w:id="8"/>
    </w:p>
    <w:p w14:paraId="22CFE1EB" w14:textId="77777777" w:rsidR="00C272B1" w:rsidRPr="00AF1A76" w:rsidRDefault="00C272B1" w:rsidP="004B705C">
      <w:pPr>
        <w:ind w:firstLine="426"/>
        <w:jc w:val="both"/>
        <w:rPr>
          <w:b/>
          <w:sz w:val="28"/>
          <w:szCs w:val="28"/>
        </w:rPr>
      </w:pPr>
    </w:p>
    <w:p w14:paraId="1C1AA946" w14:textId="77777777" w:rsidR="00F2054D" w:rsidRDefault="00F2054D" w:rsidP="00315BD1">
      <w:pPr>
        <w:autoSpaceDE w:val="0"/>
        <w:autoSpaceDN w:val="0"/>
        <w:adjustRightInd w:val="0"/>
        <w:ind w:firstLine="709"/>
        <w:jc w:val="both"/>
        <w:rPr>
          <w:sz w:val="28"/>
          <w:szCs w:val="28"/>
        </w:rPr>
      </w:pPr>
      <w:r w:rsidRPr="00CA7879">
        <w:rPr>
          <w:sz w:val="28"/>
          <w:szCs w:val="28"/>
        </w:rPr>
        <w:t>С целью определения</w:t>
      </w:r>
      <w:r>
        <w:rPr>
          <w:sz w:val="28"/>
          <w:szCs w:val="28"/>
        </w:rPr>
        <w:t xml:space="preserve"> территорий </w:t>
      </w:r>
      <w:r>
        <w:rPr>
          <w:rFonts w:eastAsiaTheme="minorHAnsi"/>
          <w:sz w:val="28"/>
          <w:szCs w:val="28"/>
          <w:lang w:eastAsia="en-US"/>
        </w:rPr>
        <w:t>входящих в географические границы рассматриваемого товарного рынка</w:t>
      </w:r>
      <w:r w:rsidR="005614E3">
        <w:rPr>
          <w:rFonts w:eastAsiaTheme="minorHAnsi"/>
          <w:sz w:val="28"/>
          <w:szCs w:val="28"/>
          <w:lang w:eastAsia="en-US"/>
        </w:rPr>
        <w:t xml:space="preserve">, и </w:t>
      </w:r>
      <w:r w:rsidR="005614E3" w:rsidRPr="00CA7879">
        <w:rPr>
          <w:sz w:val="28"/>
          <w:szCs w:val="28"/>
        </w:rPr>
        <w:t>в соответствии с под</w:t>
      </w:r>
      <w:r w:rsidR="005614E3">
        <w:rPr>
          <w:sz w:val="28"/>
          <w:szCs w:val="28"/>
        </w:rPr>
        <w:t>пунктом «в» пункта 4.2 Порядка</w:t>
      </w:r>
      <w:r w:rsidR="00AF1A76">
        <w:rPr>
          <w:sz w:val="28"/>
          <w:szCs w:val="28"/>
        </w:rPr>
        <w:t>,</w:t>
      </w:r>
      <w:r w:rsidR="005614E3">
        <w:rPr>
          <w:sz w:val="28"/>
          <w:szCs w:val="28"/>
        </w:rPr>
        <w:t xml:space="preserve"> антимонопольным органом проведен анализ структуры товаропотоков, в рамках которого определяются территории, </w:t>
      </w:r>
      <w:r w:rsidR="005614E3" w:rsidRPr="00173F19">
        <w:rPr>
          <w:sz w:val="28"/>
          <w:szCs w:val="28"/>
        </w:rPr>
        <w:t>за пределы которых вывозится и на которые ввозится</w:t>
      </w:r>
      <w:r w:rsidR="005614E3">
        <w:rPr>
          <w:sz w:val="28"/>
          <w:szCs w:val="28"/>
        </w:rPr>
        <w:t xml:space="preserve"> </w:t>
      </w:r>
      <w:r w:rsidR="005614E3" w:rsidRPr="002709A9">
        <w:rPr>
          <w:sz w:val="28"/>
          <w:szCs w:val="28"/>
        </w:rPr>
        <w:t>не</w:t>
      </w:r>
      <w:r w:rsidR="005614E3" w:rsidRPr="003E2EB4">
        <w:rPr>
          <w:color w:val="FF0000"/>
          <w:sz w:val="28"/>
          <w:szCs w:val="28"/>
        </w:rPr>
        <w:t xml:space="preserve"> </w:t>
      </w:r>
      <w:r w:rsidR="005614E3" w:rsidRPr="00173F19">
        <w:rPr>
          <w:sz w:val="28"/>
          <w:szCs w:val="28"/>
        </w:rPr>
        <w:t>более 10% от общего объема товарной массы</w:t>
      </w:r>
      <w:r w:rsidR="005614E3">
        <w:rPr>
          <w:sz w:val="28"/>
          <w:szCs w:val="28"/>
        </w:rPr>
        <w:t>.</w:t>
      </w:r>
    </w:p>
    <w:p w14:paraId="45DC9F0C" w14:textId="77777777" w:rsidR="005614E3" w:rsidRDefault="005614E3" w:rsidP="00315BD1">
      <w:pPr>
        <w:autoSpaceDE w:val="0"/>
        <w:autoSpaceDN w:val="0"/>
        <w:adjustRightInd w:val="0"/>
        <w:ind w:firstLine="709"/>
        <w:jc w:val="both"/>
        <w:rPr>
          <w:sz w:val="28"/>
          <w:szCs w:val="28"/>
        </w:rPr>
      </w:pPr>
      <w:r>
        <w:rPr>
          <w:sz w:val="28"/>
          <w:szCs w:val="28"/>
        </w:rPr>
        <w:t xml:space="preserve">Так, по данным </w:t>
      </w:r>
      <w:r w:rsidRPr="00DB0964">
        <w:rPr>
          <w:sz w:val="28"/>
          <w:szCs w:val="28"/>
        </w:rPr>
        <w:t xml:space="preserve">ФТС России доля импортной продукции в общем объёме </w:t>
      </w:r>
      <w:r>
        <w:rPr>
          <w:sz w:val="28"/>
          <w:szCs w:val="28"/>
        </w:rPr>
        <w:t>подвесных потолочных конструкций</w:t>
      </w:r>
      <w:r w:rsidRPr="00DB0964">
        <w:rPr>
          <w:sz w:val="28"/>
          <w:szCs w:val="28"/>
        </w:rPr>
        <w:t xml:space="preserve">, реализованной на территории Российской Федерации, в период </w:t>
      </w:r>
      <w:r w:rsidR="00106D84">
        <w:rPr>
          <w:sz w:val="28"/>
          <w:szCs w:val="28"/>
        </w:rPr>
        <w:t>за 2016-2017 гг.</w:t>
      </w:r>
      <w:r w:rsidRPr="00DB0964">
        <w:rPr>
          <w:sz w:val="28"/>
          <w:szCs w:val="28"/>
        </w:rPr>
        <w:t xml:space="preserve"> составила менее </w:t>
      </w:r>
      <w:r w:rsidR="00106D84">
        <w:rPr>
          <w:sz w:val="28"/>
          <w:szCs w:val="28"/>
        </w:rPr>
        <w:t>10</w:t>
      </w:r>
      <w:r w:rsidRPr="00DB0964">
        <w:rPr>
          <w:sz w:val="28"/>
          <w:szCs w:val="28"/>
        </w:rPr>
        <w:t xml:space="preserve">%. При этом, за аналогичный период времени, доля экспортированной продукции от общего объема </w:t>
      </w:r>
      <w:r w:rsidR="00106D84">
        <w:rPr>
          <w:sz w:val="28"/>
          <w:szCs w:val="28"/>
        </w:rPr>
        <w:t>реализованных</w:t>
      </w:r>
      <w:r w:rsidRPr="00DB0964">
        <w:rPr>
          <w:sz w:val="28"/>
          <w:szCs w:val="28"/>
        </w:rPr>
        <w:t xml:space="preserve"> на территории Российской Федерации </w:t>
      </w:r>
      <w:r w:rsidR="00106D84">
        <w:rPr>
          <w:sz w:val="28"/>
          <w:szCs w:val="28"/>
        </w:rPr>
        <w:t>подвесных потолочных конструкций также</w:t>
      </w:r>
      <w:r w:rsidRPr="00DB0964">
        <w:rPr>
          <w:sz w:val="28"/>
          <w:szCs w:val="28"/>
        </w:rPr>
        <w:t xml:space="preserve"> составила менее 10%.</w:t>
      </w:r>
    </w:p>
    <w:p w14:paraId="3BCE672D" w14:textId="77777777" w:rsidR="00F2054D" w:rsidRPr="00CA7879" w:rsidRDefault="00106D84" w:rsidP="00315BD1">
      <w:pPr>
        <w:ind w:firstLine="709"/>
        <w:jc w:val="both"/>
        <w:rPr>
          <w:sz w:val="28"/>
          <w:szCs w:val="28"/>
        </w:rPr>
      </w:pPr>
      <w:r>
        <w:rPr>
          <w:sz w:val="28"/>
          <w:szCs w:val="28"/>
        </w:rPr>
        <w:t xml:space="preserve">Таким образом, предварительными географическими границами территории, </w:t>
      </w:r>
      <w:r w:rsidRPr="00DB0964">
        <w:rPr>
          <w:sz w:val="28"/>
          <w:szCs w:val="28"/>
        </w:rPr>
        <w:t>за пределы которой вывозится и ввозится не более 10% от общего объёма товарной массы на</w:t>
      </w:r>
      <w:r>
        <w:rPr>
          <w:sz w:val="28"/>
          <w:szCs w:val="28"/>
        </w:rPr>
        <w:t xml:space="preserve"> рассматриваемом товарном рынке являютс</w:t>
      </w:r>
      <w:r w:rsidR="00315BD1">
        <w:rPr>
          <w:sz w:val="28"/>
          <w:szCs w:val="28"/>
        </w:rPr>
        <w:t>я границы Российской Федерации.</w:t>
      </w:r>
    </w:p>
    <w:p w14:paraId="7858FEB0" w14:textId="77777777" w:rsidR="00106D84" w:rsidRPr="00FE3019" w:rsidRDefault="00106D84" w:rsidP="00315BD1">
      <w:pPr>
        <w:ind w:firstLine="709"/>
        <w:jc w:val="both"/>
        <w:rPr>
          <w:sz w:val="28"/>
          <w:szCs w:val="28"/>
        </w:rPr>
      </w:pPr>
      <w:r w:rsidRPr="00FE3019">
        <w:rPr>
          <w:sz w:val="28"/>
          <w:szCs w:val="28"/>
        </w:rPr>
        <w:t>Кроме того, в соответствии с информацией, представленной вместе с указанным ходатайством, об основных показателях хозяйственной деятельности и регионе, в котором действуют участники сделки установлено.</w:t>
      </w:r>
    </w:p>
    <w:p w14:paraId="092FA1DF" w14:textId="10AD411C" w:rsidR="00106D84" w:rsidRPr="00FE3019" w:rsidRDefault="009E4182" w:rsidP="00315BD1">
      <w:pPr>
        <w:ind w:firstLine="709"/>
        <w:jc w:val="both"/>
        <w:rPr>
          <w:sz w:val="28"/>
          <w:szCs w:val="28"/>
        </w:rPr>
      </w:pPr>
      <w:r w:rsidRPr="00FE3019">
        <w:rPr>
          <w:sz w:val="28"/>
          <w:szCs w:val="28"/>
        </w:rPr>
        <w:t>Г</w:t>
      </w:r>
      <w:r w:rsidR="00106D84" w:rsidRPr="00FE3019">
        <w:rPr>
          <w:sz w:val="28"/>
          <w:szCs w:val="28"/>
        </w:rPr>
        <w:t>руппа лиц компании «КНАУФ ИНТЕРНАЦИОНАЛЬ ГмбХ»</w:t>
      </w:r>
      <w:r w:rsidR="0009195E" w:rsidRPr="00FE3019">
        <w:rPr>
          <w:sz w:val="28"/>
          <w:szCs w:val="28"/>
        </w:rPr>
        <w:t xml:space="preserve"> не имеет на территории Российской Федерации производственных мощностей по выпуску подвесных потолочных конструкций.</w:t>
      </w:r>
      <w:r w:rsidRPr="00FE3019">
        <w:rPr>
          <w:sz w:val="28"/>
          <w:szCs w:val="28"/>
        </w:rPr>
        <w:t xml:space="preserve"> Подвесные потолочные конструкции поставляются в Российскую Федерацию с заводов, расположенных в Германии. Реализация продукции осуществляется через подразделения группы компании «КНАУФ», расположенных в Российской Федерации или через уполномоченных дилеров/партнеров.</w:t>
      </w:r>
    </w:p>
    <w:p w14:paraId="0361AC47" w14:textId="745CD42D" w:rsidR="00FE3019" w:rsidRPr="00FE3019" w:rsidRDefault="00FE3019" w:rsidP="00315BD1">
      <w:pPr>
        <w:ind w:firstLine="709"/>
        <w:jc w:val="both"/>
        <w:rPr>
          <w:sz w:val="28"/>
          <w:szCs w:val="28"/>
        </w:rPr>
      </w:pPr>
      <w:r w:rsidRPr="00FE3019">
        <w:rPr>
          <w:sz w:val="28"/>
          <w:szCs w:val="28"/>
        </w:rPr>
        <w:t>Продажи продукции компании «КНАУФ» осуществляются в адрес покупателей, расположенных в Центральном, Северо-</w:t>
      </w:r>
      <w:r w:rsidR="00AF1A76">
        <w:rPr>
          <w:sz w:val="28"/>
          <w:szCs w:val="28"/>
        </w:rPr>
        <w:t>З</w:t>
      </w:r>
      <w:r w:rsidRPr="00FE3019">
        <w:rPr>
          <w:sz w:val="28"/>
          <w:szCs w:val="28"/>
        </w:rPr>
        <w:t>ападном, Южном, Северо-</w:t>
      </w:r>
      <w:r w:rsidR="00AF1A76">
        <w:rPr>
          <w:sz w:val="28"/>
          <w:szCs w:val="28"/>
        </w:rPr>
        <w:t>К</w:t>
      </w:r>
      <w:r w:rsidRPr="00FE3019">
        <w:rPr>
          <w:sz w:val="28"/>
          <w:szCs w:val="28"/>
        </w:rPr>
        <w:t xml:space="preserve">авказском, Приволжском, и Уральском федеральных округах. </w:t>
      </w:r>
    </w:p>
    <w:p w14:paraId="551ABF1D" w14:textId="2844CB18" w:rsidR="009E4182" w:rsidRDefault="000071B8" w:rsidP="00315BD1">
      <w:pPr>
        <w:ind w:firstLine="709"/>
        <w:jc w:val="both"/>
        <w:rPr>
          <w:sz w:val="28"/>
          <w:szCs w:val="28"/>
        </w:rPr>
      </w:pPr>
      <w:r w:rsidRPr="00FE3019">
        <w:rPr>
          <w:sz w:val="28"/>
          <w:szCs w:val="28"/>
        </w:rPr>
        <w:t>Хозяйствующие субъекты группы компании «Армстронг», расположенные на территории Российской Федерации осуществляют, как производство, так и реализацию подвесных потолочных конструкций. Так, ООО «Армстронг Билдинг Продактс»</w:t>
      </w:r>
      <w:r w:rsidR="001B7A57" w:rsidRPr="00FE3019">
        <w:rPr>
          <w:sz w:val="28"/>
          <w:szCs w:val="28"/>
        </w:rPr>
        <w:t>, расположенное в Приволжском федеральном округе, является предприятием</w:t>
      </w:r>
      <w:r w:rsidR="00AF1A76">
        <w:rPr>
          <w:sz w:val="28"/>
          <w:szCs w:val="28"/>
        </w:rPr>
        <w:t xml:space="preserve"> </w:t>
      </w:r>
      <w:r w:rsidR="001B7A57" w:rsidRPr="00FE3019">
        <w:rPr>
          <w:sz w:val="28"/>
          <w:szCs w:val="28"/>
        </w:rPr>
        <w:t xml:space="preserve">- производителем и имеет производственную площадку полного цикла по выпуску подвесных потолочных конструкций. Произведенная продукция реализуется в адрес </w:t>
      </w:r>
      <w:r w:rsidR="00E17ABC" w:rsidRPr="00CE567D">
        <w:rPr>
          <w:sz w:val="28"/>
          <w:szCs w:val="28"/>
        </w:rPr>
        <w:t xml:space="preserve"> </w:t>
      </w:r>
      <w:r w:rsidR="001B7A57" w:rsidRPr="00FE3019">
        <w:rPr>
          <w:sz w:val="28"/>
          <w:szCs w:val="28"/>
        </w:rPr>
        <w:t xml:space="preserve">ООО «Армстронг Ворлд Индастриз», которое осуществляет </w:t>
      </w:r>
      <w:r w:rsidR="001B7A57" w:rsidRPr="00FE3019">
        <w:rPr>
          <w:sz w:val="28"/>
          <w:szCs w:val="28"/>
        </w:rPr>
        <w:lastRenderedPageBreak/>
        <w:t>продажи, как продукции произведенной в Российской Федерации, так и импортированной продукции с заводов группы лиц «Армстронг», расположенных в Европейском союзе.</w:t>
      </w:r>
      <w:r w:rsidR="00B630F8" w:rsidRPr="00FE3019">
        <w:rPr>
          <w:sz w:val="28"/>
          <w:szCs w:val="28"/>
        </w:rPr>
        <w:t xml:space="preserve"> Продукция компании «Армстронг» реализуется напрямую через ООО «Армстронг Ворлд Индастриз» или через уполномоченных дистрибьюторов в</w:t>
      </w:r>
      <w:r w:rsidR="00FE3019" w:rsidRPr="00FE3019">
        <w:rPr>
          <w:sz w:val="28"/>
          <w:szCs w:val="28"/>
        </w:rPr>
        <w:t xml:space="preserve"> адрес покупателей, расположенных во всех федеральных округах Российской Федерации за исключением СКФО</w:t>
      </w:r>
      <w:r w:rsidR="00C7438B" w:rsidRPr="00FE3019">
        <w:rPr>
          <w:sz w:val="28"/>
          <w:szCs w:val="28"/>
        </w:rPr>
        <w:t>.</w:t>
      </w:r>
    </w:p>
    <w:p w14:paraId="7E229286" w14:textId="77777777" w:rsidR="0027274B" w:rsidRDefault="0027274B" w:rsidP="00315BD1">
      <w:pPr>
        <w:pStyle w:val="a8"/>
        <w:ind w:firstLine="709"/>
        <w:rPr>
          <w:szCs w:val="28"/>
        </w:rPr>
      </w:pPr>
      <w:r>
        <w:rPr>
          <w:szCs w:val="28"/>
        </w:rPr>
        <w:t>По результатам анализа организационно-транспортных схем сбыта уча</w:t>
      </w:r>
      <w:r w:rsidR="007C54CB">
        <w:rPr>
          <w:szCs w:val="28"/>
        </w:rPr>
        <w:t>стников рассматриваемой сделки,</w:t>
      </w:r>
      <w:r>
        <w:rPr>
          <w:szCs w:val="28"/>
        </w:rPr>
        <w:t xml:space="preserve"> и в соответствии с методом установления фактических районов продаж</w:t>
      </w:r>
      <w:r w:rsidR="00017400">
        <w:rPr>
          <w:szCs w:val="28"/>
        </w:rPr>
        <w:t xml:space="preserve"> (месторасположение продавцов и покупателей)</w:t>
      </w:r>
      <w:r>
        <w:rPr>
          <w:szCs w:val="28"/>
        </w:rPr>
        <w:t>, проведенным согласно пункту 4.</w:t>
      </w:r>
      <w:r w:rsidR="00BD3DCF">
        <w:rPr>
          <w:szCs w:val="28"/>
        </w:rPr>
        <w:t xml:space="preserve">5 Порядком проведения анализа, </w:t>
      </w:r>
      <w:r>
        <w:rPr>
          <w:szCs w:val="28"/>
        </w:rPr>
        <w:t>установлено:</w:t>
      </w:r>
    </w:p>
    <w:p w14:paraId="0F5C1A77" w14:textId="77777777" w:rsidR="0027274B" w:rsidRDefault="00BD3DCF" w:rsidP="00315BD1">
      <w:pPr>
        <w:pStyle w:val="a8"/>
        <w:numPr>
          <w:ilvl w:val="0"/>
          <w:numId w:val="15"/>
        </w:numPr>
        <w:tabs>
          <w:tab w:val="clear" w:pos="10206"/>
        </w:tabs>
        <w:ind w:left="0" w:firstLine="709"/>
        <w:rPr>
          <w:szCs w:val="28"/>
        </w:rPr>
      </w:pPr>
      <w:r>
        <w:rPr>
          <w:szCs w:val="28"/>
        </w:rPr>
        <w:t xml:space="preserve">Подвесные потолочные конструкции как готовые изделия в сборе </w:t>
      </w:r>
      <w:r w:rsidR="0027274B">
        <w:rPr>
          <w:szCs w:val="28"/>
        </w:rPr>
        <w:t xml:space="preserve">поставляются </w:t>
      </w:r>
      <w:r w:rsidR="002377EB">
        <w:rPr>
          <w:szCs w:val="28"/>
        </w:rPr>
        <w:t xml:space="preserve">с производственных площадок </w:t>
      </w:r>
      <w:r w:rsidR="0027274B">
        <w:rPr>
          <w:szCs w:val="28"/>
        </w:rPr>
        <w:t xml:space="preserve">в собственные </w:t>
      </w:r>
      <w:r>
        <w:rPr>
          <w:szCs w:val="28"/>
        </w:rPr>
        <w:t xml:space="preserve">торговые компании </w:t>
      </w:r>
      <w:r w:rsidR="0027274B">
        <w:rPr>
          <w:szCs w:val="28"/>
        </w:rPr>
        <w:t>для последующей реализации</w:t>
      </w:r>
      <w:r w:rsidR="0027274B" w:rsidRPr="00EF7C7E">
        <w:rPr>
          <w:szCs w:val="28"/>
        </w:rPr>
        <w:t xml:space="preserve"> </w:t>
      </w:r>
      <w:r w:rsidR="0027274B">
        <w:rPr>
          <w:szCs w:val="28"/>
        </w:rPr>
        <w:t xml:space="preserve">оптовым региональным </w:t>
      </w:r>
      <w:r>
        <w:rPr>
          <w:szCs w:val="28"/>
        </w:rPr>
        <w:t>покупателям (</w:t>
      </w:r>
      <w:r w:rsidR="0027274B">
        <w:rPr>
          <w:szCs w:val="28"/>
        </w:rPr>
        <w:t>дистрибьюторам</w:t>
      </w:r>
      <w:r>
        <w:rPr>
          <w:szCs w:val="28"/>
        </w:rPr>
        <w:t>)</w:t>
      </w:r>
      <w:r w:rsidR="0027274B">
        <w:rPr>
          <w:szCs w:val="28"/>
        </w:rPr>
        <w:t xml:space="preserve"> и (или) конечным потребителям. </w:t>
      </w:r>
    </w:p>
    <w:p w14:paraId="5B6FFD67" w14:textId="77777777" w:rsidR="0027274B" w:rsidRDefault="0027274B" w:rsidP="00315BD1">
      <w:pPr>
        <w:pStyle w:val="a8"/>
        <w:numPr>
          <w:ilvl w:val="0"/>
          <w:numId w:val="15"/>
        </w:numPr>
        <w:tabs>
          <w:tab w:val="clear" w:pos="10206"/>
        </w:tabs>
        <w:ind w:left="0" w:firstLine="709"/>
        <w:rPr>
          <w:szCs w:val="28"/>
        </w:rPr>
      </w:pPr>
      <w:r>
        <w:rPr>
          <w:szCs w:val="28"/>
        </w:rPr>
        <w:t>Наряду с готовыми изделиями</w:t>
      </w:r>
      <w:r w:rsidR="00BD3DCF">
        <w:rPr>
          <w:szCs w:val="28"/>
        </w:rPr>
        <w:t xml:space="preserve"> могут </w:t>
      </w:r>
      <w:r>
        <w:rPr>
          <w:szCs w:val="28"/>
        </w:rPr>
        <w:t>отдельно поставля</w:t>
      </w:r>
      <w:r w:rsidR="00BD3DCF">
        <w:rPr>
          <w:szCs w:val="28"/>
        </w:rPr>
        <w:t>ть</w:t>
      </w:r>
      <w:r>
        <w:rPr>
          <w:szCs w:val="28"/>
        </w:rPr>
        <w:t xml:space="preserve">ся </w:t>
      </w:r>
      <w:r w:rsidR="00BD3DCF">
        <w:rPr>
          <w:szCs w:val="28"/>
        </w:rPr>
        <w:t xml:space="preserve">необходимые комплектующие (системы подвесов, профили, и т.п.) и облицовочные панели </w:t>
      </w:r>
      <w:r>
        <w:rPr>
          <w:szCs w:val="28"/>
        </w:rPr>
        <w:t>необходимые</w:t>
      </w:r>
      <w:r w:rsidR="00BD3DCF">
        <w:rPr>
          <w:szCs w:val="28"/>
        </w:rPr>
        <w:t xml:space="preserve"> конечным потребителям при осуществлении локального ремонта потолочных конструкций.</w:t>
      </w:r>
    </w:p>
    <w:p w14:paraId="72593EC4" w14:textId="77777777" w:rsidR="002377EB" w:rsidRPr="002377EB" w:rsidRDefault="00BD3DCF" w:rsidP="00315BD1">
      <w:pPr>
        <w:pStyle w:val="a8"/>
        <w:numPr>
          <w:ilvl w:val="0"/>
          <w:numId w:val="15"/>
        </w:numPr>
        <w:tabs>
          <w:tab w:val="clear" w:pos="10206"/>
        </w:tabs>
        <w:ind w:left="0" w:firstLine="709"/>
        <w:rPr>
          <w:szCs w:val="28"/>
        </w:rPr>
      </w:pPr>
      <w:r>
        <w:rPr>
          <w:szCs w:val="28"/>
        </w:rPr>
        <w:t xml:space="preserve"> В связи с тем, что отсутствуют какие-либо ограничения, предъявляемые при транспортировки подвесных потолочных систем, транспортировка последних возможна в пределах географических границ Российской Федерации</w:t>
      </w:r>
      <w:r w:rsidRPr="00EF7C7E">
        <w:rPr>
          <w:szCs w:val="28"/>
        </w:rPr>
        <w:t>.</w:t>
      </w:r>
    </w:p>
    <w:p w14:paraId="64C9EA0D" w14:textId="77777777" w:rsidR="002377EB" w:rsidRPr="00CE567D" w:rsidRDefault="00BC7DB8" w:rsidP="00315BD1">
      <w:pPr>
        <w:ind w:firstLine="709"/>
        <w:jc w:val="both"/>
        <w:rPr>
          <w:b/>
          <w:sz w:val="28"/>
          <w:szCs w:val="28"/>
        </w:rPr>
      </w:pPr>
      <w:r w:rsidRPr="00CE567D">
        <w:rPr>
          <w:b/>
          <w:sz w:val="28"/>
          <w:szCs w:val="28"/>
        </w:rPr>
        <w:t xml:space="preserve">Учитывая изложенное и исходя из полученных результатов географическими границами рынка </w:t>
      </w:r>
      <w:r w:rsidR="002377EB" w:rsidRPr="00CE567D">
        <w:rPr>
          <w:b/>
          <w:sz w:val="28"/>
          <w:szCs w:val="28"/>
        </w:rPr>
        <w:t>подвесных потолочных конструкций</w:t>
      </w:r>
      <w:r w:rsidR="00AF1A76">
        <w:rPr>
          <w:b/>
          <w:sz w:val="28"/>
          <w:szCs w:val="28"/>
        </w:rPr>
        <w:t xml:space="preserve"> (систем)</w:t>
      </w:r>
      <w:r w:rsidRPr="00CE567D">
        <w:rPr>
          <w:b/>
          <w:sz w:val="28"/>
          <w:szCs w:val="28"/>
        </w:rPr>
        <w:t xml:space="preserve"> являются границы Российской Федерации.</w:t>
      </w:r>
    </w:p>
    <w:p w14:paraId="3124D083" w14:textId="77777777" w:rsidR="00BC7DB8" w:rsidRPr="0058421C" w:rsidRDefault="002377EB" w:rsidP="00315BD1">
      <w:pPr>
        <w:ind w:firstLine="709"/>
        <w:jc w:val="both"/>
        <w:rPr>
          <w:sz w:val="28"/>
          <w:szCs w:val="28"/>
        </w:rPr>
      </w:pPr>
      <w:r w:rsidRPr="0058421C">
        <w:rPr>
          <w:sz w:val="28"/>
          <w:szCs w:val="28"/>
        </w:rPr>
        <w:t>В соответствии с пунктом 4.6 Порядка проведения анализа определение географических границ м</w:t>
      </w:r>
      <w:r w:rsidR="00BC7DB8" w:rsidRPr="0058421C">
        <w:rPr>
          <w:sz w:val="28"/>
          <w:szCs w:val="28"/>
        </w:rPr>
        <w:t>етод</w:t>
      </w:r>
      <w:r w:rsidRPr="0058421C">
        <w:rPr>
          <w:sz w:val="28"/>
          <w:szCs w:val="28"/>
        </w:rPr>
        <w:t>ом</w:t>
      </w:r>
      <w:r w:rsidR="00BC7DB8" w:rsidRPr="0058421C">
        <w:rPr>
          <w:sz w:val="28"/>
          <w:szCs w:val="28"/>
        </w:rPr>
        <w:t xml:space="preserve"> «тест гипотетического монополиста» (опрос потребителей о географических границах рынка) не использовался по следующим обстоятельствам:</w:t>
      </w:r>
    </w:p>
    <w:p w14:paraId="6C5FF89F" w14:textId="77777777" w:rsidR="002377EB" w:rsidRPr="0058421C" w:rsidRDefault="00B93ABC" w:rsidP="00315BD1">
      <w:pPr>
        <w:numPr>
          <w:ilvl w:val="0"/>
          <w:numId w:val="16"/>
        </w:numPr>
        <w:ind w:left="0" w:firstLine="709"/>
        <w:jc w:val="both"/>
        <w:rPr>
          <w:sz w:val="28"/>
          <w:szCs w:val="28"/>
        </w:rPr>
      </w:pPr>
      <w:r w:rsidRPr="0058421C">
        <w:rPr>
          <w:sz w:val="28"/>
          <w:szCs w:val="28"/>
        </w:rPr>
        <w:t>Реализация продукции осуществляется напрямую потребителям или через дистрибьюторов во всех федеральных округах Российской Федерации;</w:t>
      </w:r>
    </w:p>
    <w:p w14:paraId="38D1CD18" w14:textId="77777777" w:rsidR="00BC7DB8" w:rsidRPr="0058421C" w:rsidRDefault="00B93ABC" w:rsidP="00315BD1">
      <w:pPr>
        <w:numPr>
          <w:ilvl w:val="0"/>
          <w:numId w:val="16"/>
        </w:numPr>
        <w:ind w:left="0" w:firstLine="709"/>
        <w:jc w:val="both"/>
        <w:rPr>
          <w:sz w:val="28"/>
          <w:szCs w:val="28"/>
        </w:rPr>
      </w:pPr>
      <w:r w:rsidRPr="0058421C">
        <w:rPr>
          <w:sz w:val="28"/>
          <w:szCs w:val="28"/>
        </w:rPr>
        <w:t>Зачастую п</w:t>
      </w:r>
      <w:r w:rsidR="00BC7DB8" w:rsidRPr="0058421C">
        <w:rPr>
          <w:sz w:val="28"/>
          <w:szCs w:val="28"/>
        </w:rPr>
        <w:t>отребител</w:t>
      </w:r>
      <w:r w:rsidRPr="0058421C">
        <w:rPr>
          <w:sz w:val="28"/>
          <w:szCs w:val="28"/>
        </w:rPr>
        <w:t>и приобретают продукцию однократно или на нерегулярной основе, обусловленной ее длительным сроком использования</w:t>
      </w:r>
      <w:r w:rsidR="0058421C" w:rsidRPr="0058421C">
        <w:rPr>
          <w:sz w:val="28"/>
          <w:szCs w:val="28"/>
        </w:rPr>
        <w:t>;</w:t>
      </w:r>
    </w:p>
    <w:p w14:paraId="63B5E9C2" w14:textId="3B046DFD" w:rsidR="00BC7DB8" w:rsidRPr="0058421C" w:rsidRDefault="00BC7DB8" w:rsidP="00315BD1">
      <w:pPr>
        <w:numPr>
          <w:ilvl w:val="0"/>
          <w:numId w:val="16"/>
        </w:numPr>
        <w:ind w:left="0" w:firstLine="709"/>
        <w:jc w:val="both"/>
        <w:rPr>
          <w:sz w:val="28"/>
          <w:szCs w:val="28"/>
        </w:rPr>
      </w:pPr>
      <w:r w:rsidRPr="0058421C">
        <w:rPr>
          <w:sz w:val="28"/>
          <w:szCs w:val="28"/>
        </w:rPr>
        <w:t xml:space="preserve">Отсутствие ограничений по поставке </w:t>
      </w:r>
      <w:r w:rsidR="0058421C" w:rsidRPr="0058421C">
        <w:rPr>
          <w:sz w:val="28"/>
          <w:szCs w:val="28"/>
        </w:rPr>
        <w:t>подвесных потолочных конструкций</w:t>
      </w:r>
      <w:r w:rsidRPr="0058421C">
        <w:rPr>
          <w:sz w:val="28"/>
          <w:szCs w:val="28"/>
        </w:rPr>
        <w:t>, а также</w:t>
      </w:r>
      <w:r w:rsidR="0058421C" w:rsidRPr="0058421C">
        <w:rPr>
          <w:sz w:val="28"/>
          <w:szCs w:val="28"/>
        </w:rPr>
        <w:t xml:space="preserve"> их</w:t>
      </w:r>
      <w:r w:rsidRPr="0058421C">
        <w:rPr>
          <w:sz w:val="28"/>
          <w:szCs w:val="28"/>
        </w:rPr>
        <w:t xml:space="preserve"> </w:t>
      </w:r>
      <w:r w:rsidR="0058421C" w:rsidRPr="0058421C">
        <w:rPr>
          <w:sz w:val="28"/>
          <w:szCs w:val="28"/>
        </w:rPr>
        <w:t xml:space="preserve">отдельных комплектующих (составляющих) </w:t>
      </w:r>
      <w:r w:rsidRPr="0058421C">
        <w:rPr>
          <w:sz w:val="28"/>
          <w:szCs w:val="28"/>
        </w:rPr>
        <w:t>в различные регионы Российской Федерации</w:t>
      </w:r>
      <w:r w:rsidR="0058421C" w:rsidRPr="0058421C">
        <w:rPr>
          <w:sz w:val="28"/>
          <w:szCs w:val="28"/>
        </w:rPr>
        <w:t xml:space="preserve"> с производственных предприятий как внутри страны</w:t>
      </w:r>
      <w:r w:rsidR="00AF1A76">
        <w:rPr>
          <w:sz w:val="28"/>
          <w:szCs w:val="28"/>
        </w:rPr>
        <w:t>,</w:t>
      </w:r>
      <w:r w:rsidR="0058421C" w:rsidRPr="0058421C">
        <w:rPr>
          <w:sz w:val="28"/>
          <w:szCs w:val="28"/>
        </w:rPr>
        <w:t xml:space="preserve"> так </w:t>
      </w:r>
      <w:r w:rsidR="00AF1A76">
        <w:rPr>
          <w:sz w:val="28"/>
          <w:szCs w:val="28"/>
        </w:rPr>
        <w:t>и расположенных за пределами Российской Федерации</w:t>
      </w:r>
      <w:r w:rsidRPr="0058421C">
        <w:rPr>
          <w:sz w:val="28"/>
          <w:szCs w:val="28"/>
        </w:rPr>
        <w:t>;</w:t>
      </w:r>
    </w:p>
    <w:p w14:paraId="54D5A1B9" w14:textId="77777777" w:rsidR="00CA7879" w:rsidRPr="00315BD1" w:rsidRDefault="00BC7DB8" w:rsidP="00315BD1">
      <w:pPr>
        <w:numPr>
          <w:ilvl w:val="0"/>
          <w:numId w:val="16"/>
        </w:numPr>
        <w:ind w:left="0" w:firstLine="709"/>
        <w:jc w:val="both"/>
        <w:rPr>
          <w:sz w:val="28"/>
          <w:szCs w:val="28"/>
        </w:rPr>
      </w:pPr>
      <w:r w:rsidRPr="0058421C">
        <w:rPr>
          <w:sz w:val="28"/>
          <w:szCs w:val="28"/>
        </w:rPr>
        <w:t>Анализ организационно-транспортных схем сбыта и метод установления фактический районов продаж вполне достоверно позволяют установить возможности перемещения товара, а также определить географические границы рынка.</w:t>
      </w:r>
    </w:p>
    <w:p w14:paraId="22AA25C7" w14:textId="77777777" w:rsidR="00CA7879" w:rsidRPr="00C272B1" w:rsidRDefault="00CA7879" w:rsidP="004B705C">
      <w:pPr>
        <w:ind w:firstLine="426"/>
        <w:jc w:val="both"/>
        <w:rPr>
          <w:b/>
          <w:sz w:val="28"/>
          <w:szCs w:val="28"/>
        </w:rPr>
      </w:pPr>
    </w:p>
    <w:p w14:paraId="74780886" w14:textId="77777777" w:rsidR="006647F9" w:rsidRPr="00CE567D" w:rsidRDefault="0033001A" w:rsidP="00FC489D">
      <w:pPr>
        <w:pStyle w:val="1"/>
        <w:jc w:val="center"/>
        <w:rPr>
          <w:rFonts w:ascii="Times New Roman" w:hAnsi="Times New Roman" w:cs="Times New Roman"/>
          <w:b/>
          <w:color w:val="auto"/>
          <w:sz w:val="36"/>
          <w:szCs w:val="36"/>
        </w:rPr>
      </w:pPr>
      <w:bookmarkStart w:id="9" w:name="_Toc517465189"/>
      <w:bookmarkStart w:id="10" w:name="_Toc522003963"/>
      <w:r w:rsidRPr="00647628">
        <w:rPr>
          <w:rFonts w:ascii="Times New Roman" w:hAnsi="Times New Roman" w:cs="Times New Roman"/>
          <w:b/>
          <w:color w:val="auto"/>
          <w:lang w:val="en-US"/>
        </w:rPr>
        <w:lastRenderedPageBreak/>
        <w:t>V</w:t>
      </w:r>
      <w:r w:rsidRPr="00647628">
        <w:rPr>
          <w:rFonts w:ascii="Times New Roman" w:hAnsi="Times New Roman" w:cs="Times New Roman"/>
          <w:b/>
          <w:color w:val="auto"/>
        </w:rPr>
        <w:t>.</w:t>
      </w:r>
      <w:r w:rsidRPr="00CE567D">
        <w:rPr>
          <w:rFonts w:ascii="Times New Roman" w:hAnsi="Times New Roman" w:cs="Times New Roman"/>
          <w:b/>
          <w:color w:val="auto"/>
          <w:sz w:val="36"/>
          <w:szCs w:val="36"/>
        </w:rPr>
        <w:t xml:space="preserve"> </w:t>
      </w:r>
      <w:r w:rsidR="004B705C" w:rsidRPr="00CE567D">
        <w:rPr>
          <w:rFonts w:ascii="Times New Roman" w:hAnsi="Times New Roman" w:cs="Times New Roman"/>
          <w:b/>
          <w:color w:val="auto"/>
          <w:sz w:val="36"/>
          <w:szCs w:val="36"/>
        </w:rPr>
        <w:t>О</w:t>
      </w:r>
      <w:r w:rsidR="0054305D" w:rsidRPr="00CE567D">
        <w:rPr>
          <w:rFonts w:ascii="Times New Roman" w:hAnsi="Times New Roman" w:cs="Times New Roman"/>
          <w:b/>
          <w:color w:val="auto"/>
          <w:sz w:val="36"/>
          <w:szCs w:val="36"/>
        </w:rPr>
        <w:t>пределение состава хозяйствующих субъектов, действующих на товарном рынке</w:t>
      </w:r>
      <w:bookmarkEnd w:id="9"/>
      <w:bookmarkEnd w:id="10"/>
    </w:p>
    <w:p w14:paraId="3BEBF697" w14:textId="77777777" w:rsidR="00017400" w:rsidRPr="00017400" w:rsidRDefault="00017400" w:rsidP="00017400"/>
    <w:p w14:paraId="665FC6B6" w14:textId="77777777" w:rsidR="00017400" w:rsidRDefault="00017400" w:rsidP="00315BD1">
      <w:pPr>
        <w:ind w:firstLine="709"/>
        <w:jc w:val="both"/>
        <w:rPr>
          <w:sz w:val="28"/>
          <w:szCs w:val="28"/>
        </w:rPr>
      </w:pPr>
      <w:r w:rsidRPr="006A01A3">
        <w:rPr>
          <w:sz w:val="28"/>
          <w:szCs w:val="28"/>
        </w:rPr>
        <w:t>В состав хозяйствующих субъектов, действующих на</w:t>
      </w:r>
      <w:r w:rsidR="00717C36">
        <w:rPr>
          <w:sz w:val="28"/>
          <w:szCs w:val="28"/>
        </w:rPr>
        <w:t xml:space="preserve"> рынке</w:t>
      </w:r>
      <w:r w:rsidRPr="006A01A3">
        <w:rPr>
          <w:sz w:val="28"/>
          <w:szCs w:val="28"/>
        </w:rPr>
        <w:t xml:space="preserve"> </w:t>
      </w:r>
      <w:r>
        <w:rPr>
          <w:sz w:val="28"/>
          <w:szCs w:val="28"/>
        </w:rPr>
        <w:t>подвесных потолочных конструкций</w:t>
      </w:r>
      <w:r w:rsidR="00717C36">
        <w:rPr>
          <w:sz w:val="28"/>
          <w:szCs w:val="28"/>
        </w:rPr>
        <w:t xml:space="preserve"> (систем)</w:t>
      </w:r>
      <w:r w:rsidRPr="006A01A3">
        <w:rPr>
          <w:sz w:val="28"/>
          <w:szCs w:val="28"/>
        </w:rPr>
        <w:t>,</w:t>
      </w:r>
      <w:r w:rsidRPr="00EF7C7E">
        <w:rPr>
          <w:sz w:val="28"/>
          <w:szCs w:val="28"/>
        </w:rPr>
        <w:t xml:space="preserve"> </w:t>
      </w:r>
      <w:r>
        <w:rPr>
          <w:sz w:val="28"/>
          <w:szCs w:val="28"/>
        </w:rPr>
        <w:t>в границах Российской Федерации</w:t>
      </w:r>
      <w:r w:rsidRPr="006A01A3">
        <w:rPr>
          <w:sz w:val="28"/>
          <w:szCs w:val="28"/>
        </w:rPr>
        <w:t xml:space="preserve"> входят:</w:t>
      </w:r>
    </w:p>
    <w:p w14:paraId="03571561" w14:textId="77777777" w:rsidR="00017400" w:rsidRPr="00EF7C7E" w:rsidRDefault="00017400" w:rsidP="00315BD1">
      <w:pPr>
        <w:numPr>
          <w:ilvl w:val="0"/>
          <w:numId w:val="8"/>
        </w:numPr>
        <w:ind w:left="0" w:firstLine="709"/>
        <w:jc w:val="both"/>
        <w:rPr>
          <w:b/>
          <w:sz w:val="28"/>
          <w:szCs w:val="28"/>
        </w:rPr>
      </w:pPr>
      <w:r w:rsidRPr="00EF7C7E">
        <w:rPr>
          <w:b/>
          <w:sz w:val="28"/>
          <w:szCs w:val="28"/>
        </w:rPr>
        <w:t>Продавцы:</w:t>
      </w:r>
    </w:p>
    <w:p w14:paraId="3EDBD4DF" w14:textId="77777777" w:rsidR="00017400" w:rsidRPr="00EF7C7E" w:rsidRDefault="00017400" w:rsidP="00315BD1">
      <w:pPr>
        <w:numPr>
          <w:ilvl w:val="0"/>
          <w:numId w:val="17"/>
        </w:numPr>
        <w:ind w:left="0" w:firstLine="709"/>
        <w:jc w:val="both"/>
        <w:rPr>
          <w:sz w:val="28"/>
          <w:szCs w:val="28"/>
        </w:rPr>
      </w:pPr>
      <w:r>
        <w:rPr>
          <w:sz w:val="28"/>
          <w:szCs w:val="28"/>
        </w:rPr>
        <w:t>Хозяйствующие субъекты осуществляющие производство и реализацию рассматриваемых подвесных потолочных конструкций</w:t>
      </w:r>
      <w:r w:rsidRPr="00EF7C7E">
        <w:rPr>
          <w:sz w:val="28"/>
          <w:szCs w:val="28"/>
        </w:rPr>
        <w:t>;</w:t>
      </w:r>
    </w:p>
    <w:p w14:paraId="1282566A" w14:textId="77777777" w:rsidR="00017400" w:rsidRDefault="00017400" w:rsidP="00315BD1">
      <w:pPr>
        <w:numPr>
          <w:ilvl w:val="0"/>
          <w:numId w:val="17"/>
        </w:numPr>
        <w:ind w:left="0" w:firstLine="709"/>
        <w:jc w:val="both"/>
        <w:rPr>
          <w:sz w:val="28"/>
          <w:szCs w:val="28"/>
        </w:rPr>
      </w:pPr>
      <w:r>
        <w:rPr>
          <w:sz w:val="28"/>
          <w:szCs w:val="28"/>
        </w:rPr>
        <w:t xml:space="preserve">Хозяйствующие субъекты, официальные представительства и (или) дистрибьюторы и (или) дилеры производителей, в том числе иностранных, осуществляющие реализацию рассматриваемых </w:t>
      </w:r>
      <w:r w:rsidR="0065556D">
        <w:rPr>
          <w:sz w:val="28"/>
          <w:szCs w:val="28"/>
        </w:rPr>
        <w:t>подвесных потолочных конструкций</w:t>
      </w:r>
      <w:r w:rsidRPr="00EF7C7E">
        <w:rPr>
          <w:sz w:val="28"/>
          <w:szCs w:val="28"/>
        </w:rPr>
        <w:t>.</w:t>
      </w:r>
    </w:p>
    <w:p w14:paraId="2D39ED76" w14:textId="77777777" w:rsidR="00017400" w:rsidRPr="00EF7C7E" w:rsidRDefault="00017400" w:rsidP="00315BD1">
      <w:pPr>
        <w:numPr>
          <w:ilvl w:val="0"/>
          <w:numId w:val="8"/>
        </w:numPr>
        <w:ind w:left="0" w:firstLine="709"/>
        <w:jc w:val="both"/>
        <w:rPr>
          <w:b/>
          <w:sz w:val="28"/>
          <w:szCs w:val="28"/>
        </w:rPr>
      </w:pPr>
      <w:r w:rsidRPr="00EF7C7E">
        <w:rPr>
          <w:b/>
          <w:sz w:val="28"/>
          <w:szCs w:val="28"/>
        </w:rPr>
        <w:t>Потребители:</w:t>
      </w:r>
    </w:p>
    <w:p w14:paraId="22579040" w14:textId="77777777" w:rsidR="00017400" w:rsidRPr="00174EC2" w:rsidRDefault="00017400" w:rsidP="00315BD1">
      <w:pPr>
        <w:numPr>
          <w:ilvl w:val="0"/>
          <w:numId w:val="18"/>
        </w:numPr>
        <w:ind w:left="0" w:firstLine="709"/>
        <w:jc w:val="both"/>
        <w:rPr>
          <w:sz w:val="28"/>
          <w:szCs w:val="28"/>
        </w:rPr>
      </w:pPr>
      <w:r>
        <w:rPr>
          <w:sz w:val="28"/>
          <w:szCs w:val="28"/>
        </w:rPr>
        <w:t xml:space="preserve">Хозяйствующие субъекты, </w:t>
      </w:r>
      <w:r w:rsidR="004011B0">
        <w:rPr>
          <w:sz w:val="28"/>
          <w:szCs w:val="28"/>
        </w:rPr>
        <w:t xml:space="preserve">специализирующиеся на строительных и отделочных материалах, строительные организации либо конечные потребители – хозяйствующие субъекты, в собственности (управлении) которых находятся объекты коммерческой недвижимости, </w:t>
      </w:r>
      <w:r w:rsidR="004011B0" w:rsidRPr="00A05BFC">
        <w:rPr>
          <w:sz w:val="28"/>
          <w:szCs w:val="28"/>
        </w:rPr>
        <w:t>общественны</w:t>
      </w:r>
      <w:r w:rsidR="004011B0">
        <w:rPr>
          <w:sz w:val="28"/>
          <w:szCs w:val="28"/>
        </w:rPr>
        <w:t>е</w:t>
      </w:r>
      <w:r w:rsidR="004011B0" w:rsidRPr="00A05BFC">
        <w:rPr>
          <w:sz w:val="28"/>
          <w:szCs w:val="28"/>
        </w:rPr>
        <w:t>, производственны</w:t>
      </w:r>
      <w:r w:rsidR="004011B0">
        <w:rPr>
          <w:sz w:val="28"/>
          <w:szCs w:val="28"/>
        </w:rPr>
        <w:t>е</w:t>
      </w:r>
      <w:r w:rsidR="004011B0" w:rsidRPr="00A05BFC">
        <w:rPr>
          <w:sz w:val="28"/>
          <w:szCs w:val="28"/>
        </w:rPr>
        <w:t xml:space="preserve"> и вспомогательны</w:t>
      </w:r>
      <w:r w:rsidR="004011B0">
        <w:rPr>
          <w:sz w:val="28"/>
          <w:szCs w:val="28"/>
        </w:rPr>
        <w:t xml:space="preserve">е </w:t>
      </w:r>
      <w:r w:rsidR="004011B0" w:rsidRPr="00A05BFC">
        <w:rPr>
          <w:sz w:val="28"/>
          <w:szCs w:val="28"/>
        </w:rPr>
        <w:t>здани</w:t>
      </w:r>
      <w:r w:rsidR="004011B0">
        <w:rPr>
          <w:sz w:val="28"/>
          <w:szCs w:val="28"/>
        </w:rPr>
        <w:t>я</w:t>
      </w:r>
      <w:r w:rsidR="004011B0" w:rsidRPr="00A05BFC">
        <w:rPr>
          <w:sz w:val="28"/>
          <w:szCs w:val="28"/>
        </w:rPr>
        <w:t xml:space="preserve"> и сооружени</w:t>
      </w:r>
      <w:r w:rsidR="004011B0">
        <w:rPr>
          <w:sz w:val="28"/>
          <w:szCs w:val="28"/>
        </w:rPr>
        <w:t xml:space="preserve">я и </w:t>
      </w:r>
      <w:r>
        <w:rPr>
          <w:sz w:val="28"/>
          <w:szCs w:val="28"/>
        </w:rPr>
        <w:t xml:space="preserve">использующие </w:t>
      </w:r>
      <w:r w:rsidR="0065556D">
        <w:rPr>
          <w:sz w:val="28"/>
          <w:szCs w:val="28"/>
        </w:rPr>
        <w:t>подвесные потолочные конструкции</w:t>
      </w:r>
      <w:r w:rsidR="00174EC2">
        <w:rPr>
          <w:sz w:val="28"/>
          <w:szCs w:val="28"/>
        </w:rPr>
        <w:t xml:space="preserve"> при внутренней отделке нежилых коммерческих помещений (сооружений) в целях решения </w:t>
      </w:r>
      <w:r w:rsidR="00174EC2" w:rsidRPr="00174EC2">
        <w:rPr>
          <w:sz w:val="28"/>
          <w:szCs w:val="28"/>
        </w:rPr>
        <w:t>определенных функциональных, архитектурных, эргономических и других задач</w:t>
      </w:r>
      <w:r w:rsidRPr="00174EC2">
        <w:rPr>
          <w:sz w:val="28"/>
          <w:szCs w:val="28"/>
        </w:rPr>
        <w:t>;</w:t>
      </w:r>
    </w:p>
    <w:p w14:paraId="1445AC90" w14:textId="77777777" w:rsidR="00174EC2" w:rsidRPr="004011B0" w:rsidRDefault="00017400" w:rsidP="00315BD1">
      <w:pPr>
        <w:numPr>
          <w:ilvl w:val="0"/>
          <w:numId w:val="18"/>
        </w:numPr>
        <w:ind w:left="0" w:firstLine="709"/>
        <w:jc w:val="both"/>
        <w:rPr>
          <w:sz w:val="28"/>
          <w:szCs w:val="28"/>
        </w:rPr>
      </w:pPr>
      <w:r>
        <w:rPr>
          <w:sz w:val="28"/>
          <w:szCs w:val="28"/>
        </w:rPr>
        <w:t xml:space="preserve">Население, физические лица, использующие </w:t>
      </w:r>
      <w:r w:rsidR="00174EC2">
        <w:rPr>
          <w:sz w:val="28"/>
          <w:szCs w:val="28"/>
        </w:rPr>
        <w:t>подвесные потолочные конструкции в нежилых помещениях или ванных комнатах/кухнях для потолочных систем отдельных видов типа «реечные» системы.</w:t>
      </w:r>
    </w:p>
    <w:p w14:paraId="4FF9C476" w14:textId="77777777" w:rsidR="00017400" w:rsidRDefault="00017400" w:rsidP="00315BD1">
      <w:pPr>
        <w:ind w:firstLine="709"/>
        <w:jc w:val="both"/>
        <w:rPr>
          <w:sz w:val="28"/>
          <w:szCs w:val="28"/>
        </w:rPr>
      </w:pPr>
      <w:r w:rsidRPr="004011B0">
        <w:rPr>
          <w:sz w:val="28"/>
          <w:szCs w:val="28"/>
        </w:rPr>
        <w:t>Проанализированная схема товародвижения от производителя до конечного потребителя, содержащая ряд промежуточных звеньев, позволила выявить несколько уровней реализации, отличающиеся субъектным составом:</w:t>
      </w:r>
    </w:p>
    <w:p w14:paraId="3BF2CCE4" w14:textId="77777777" w:rsidR="00017400" w:rsidRDefault="00017400" w:rsidP="00315BD1">
      <w:pPr>
        <w:ind w:firstLine="709"/>
        <w:jc w:val="both"/>
        <w:rPr>
          <w:szCs w:val="28"/>
        </w:rPr>
      </w:pPr>
      <w:r>
        <w:rPr>
          <w:sz w:val="28"/>
          <w:szCs w:val="28"/>
        </w:rPr>
        <w:t>-</w:t>
      </w:r>
      <w:r w:rsidRPr="009C4FB0">
        <w:rPr>
          <w:szCs w:val="28"/>
        </w:rPr>
        <w:t xml:space="preserve"> </w:t>
      </w:r>
      <w:r w:rsidRPr="00EF7C7E">
        <w:rPr>
          <w:sz w:val="28"/>
          <w:szCs w:val="28"/>
        </w:rPr>
        <w:t xml:space="preserve">уровень первичной оптовой реализации </w:t>
      </w:r>
      <w:r w:rsidR="004011B0">
        <w:rPr>
          <w:sz w:val="28"/>
          <w:szCs w:val="28"/>
        </w:rPr>
        <w:t>подвесных потолочных конструкций</w:t>
      </w:r>
      <w:r w:rsidRPr="00EF7C7E">
        <w:rPr>
          <w:sz w:val="28"/>
          <w:szCs w:val="28"/>
        </w:rPr>
        <w:t>, где возможны две субъектные схемы движения товара: производитель</w:t>
      </w:r>
      <w:r>
        <w:rPr>
          <w:sz w:val="28"/>
          <w:szCs w:val="28"/>
        </w:rPr>
        <w:t xml:space="preserve"> (его официальное представительство</w:t>
      </w:r>
      <w:r w:rsidR="004011B0">
        <w:rPr>
          <w:sz w:val="28"/>
          <w:szCs w:val="28"/>
        </w:rPr>
        <w:t>/дистрибьютор</w:t>
      </w:r>
      <w:r>
        <w:rPr>
          <w:sz w:val="28"/>
          <w:szCs w:val="28"/>
        </w:rPr>
        <w:t>)</w:t>
      </w:r>
      <w:r w:rsidRPr="00EF7C7E">
        <w:rPr>
          <w:sz w:val="28"/>
          <w:szCs w:val="28"/>
        </w:rPr>
        <w:t xml:space="preserve"> – конечный потребитель, производитель – оптовый посредник;</w:t>
      </w:r>
    </w:p>
    <w:p w14:paraId="6CAB217D" w14:textId="77777777" w:rsidR="00017400" w:rsidRPr="000500AC" w:rsidRDefault="00017400" w:rsidP="00315BD1">
      <w:pPr>
        <w:pStyle w:val="a8"/>
        <w:ind w:firstLine="709"/>
        <w:rPr>
          <w:szCs w:val="28"/>
        </w:rPr>
      </w:pPr>
      <w:r>
        <w:rPr>
          <w:szCs w:val="28"/>
        </w:rPr>
        <w:t xml:space="preserve">- </w:t>
      </w:r>
      <w:r w:rsidRPr="000500AC">
        <w:rPr>
          <w:szCs w:val="28"/>
        </w:rPr>
        <w:t>оптово-посреднический уровень включает взаимоотношения между оптовыми посредниками, либо оптовыми посредниками и конечным потребителем;</w:t>
      </w:r>
    </w:p>
    <w:p w14:paraId="7C30B05E" w14:textId="77777777" w:rsidR="00017400" w:rsidRPr="000500AC" w:rsidRDefault="00017400" w:rsidP="00315BD1">
      <w:pPr>
        <w:pStyle w:val="a8"/>
        <w:ind w:firstLine="709"/>
        <w:rPr>
          <w:szCs w:val="28"/>
        </w:rPr>
      </w:pPr>
      <w:r w:rsidRPr="000500AC">
        <w:rPr>
          <w:szCs w:val="28"/>
        </w:rPr>
        <w:t xml:space="preserve">- уровень розничной реализации </w:t>
      </w:r>
      <w:r>
        <w:rPr>
          <w:szCs w:val="28"/>
        </w:rPr>
        <w:t xml:space="preserve">рассматриваемых </w:t>
      </w:r>
      <w:r w:rsidR="004011B0">
        <w:rPr>
          <w:szCs w:val="28"/>
        </w:rPr>
        <w:t>подвесных потолочных конструкций</w:t>
      </w:r>
      <w:r w:rsidRPr="000500AC">
        <w:rPr>
          <w:szCs w:val="28"/>
        </w:rPr>
        <w:t>, на котором продавцом выступают производители или оптовые посредники.</w:t>
      </w:r>
    </w:p>
    <w:p w14:paraId="72EAFF01" w14:textId="77777777" w:rsidR="00017400" w:rsidRDefault="00017400" w:rsidP="00315BD1">
      <w:pPr>
        <w:ind w:firstLine="709"/>
        <w:jc w:val="both"/>
        <w:rPr>
          <w:sz w:val="28"/>
          <w:szCs w:val="28"/>
        </w:rPr>
      </w:pPr>
      <w:r w:rsidRPr="00EF7C7E">
        <w:rPr>
          <w:sz w:val="28"/>
          <w:szCs w:val="28"/>
        </w:rPr>
        <w:t xml:space="preserve">Объектом данного исследования является оптовый рынок </w:t>
      </w:r>
      <w:r w:rsidR="004011B0">
        <w:rPr>
          <w:sz w:val="28"/>
          <w:szCs w:val="28"/>
        </w:rPr>
        <w:t>подвесных потолочных конструкций</w:t>
      </w:r>
      <w:r w:rsidRPr="00EF7C7E">
        <w:rPr>
          <w:sz w:val="28"/>
          <w:szCs w:val="28"/>
        </w:rPr>
        <w:t>, первичной оптовой реализации производителями, в том числе иностранными через собственные представительства (филиалы) или официальных дистрибьюторов</w:t>
      </w:r>
      <w:r>
        <w:rPr>
          <w:sz w:val="28"/>
          <w:szCs w:val="28"/>
        </w:rPr>
        <w:t xml:space="preserve"> на территории Российской Федерации</w:t>
      </w:r>
      <w:r w:rsidRPr="00EF7C7E">
        <w:rPr>
          <w:sz w:val="28"/>
          <w:szCs w:val="28"/>
        </w:rPr>
        <w:t>.</w:t>
      </w:r>
    </w:p>
    <w:p w14:paraId="3C45C91E" w14:textId="77777777" w:rsidR="004011B0" w:rsidRDefault="004011B0" w:rsidP="00315BD1">
      <w:pPr>
        <w:ind w:firstLine="709"/>
        <w:jc w:val="both"/>
        <w:rPr>
          <w:sz w:val="28"/>
          <w:szCs w:val="28"/>
        </w:rPr>
      </w:pPr>
      <w:r w:rsidRPr="006647F9">
        <w:rPr>
          <w:sz w:val="28"/>
          <w:szCs w:val="28"/>
        </w:rPr>
        <w:t xml:space="preserve">В соответствии с информацией, </w:t>
      </w:r>
      <w:r>
        <w:rPr>
          <w:sz w:val="28"/>
          <w:szCs w:val="28"/>
        </w:rPr>
        <w:t>полученной</w:t>
      </w:r>
      <w:r w:rsidRPr="006647F9">
        <w:rPr>
          <w:sz w:val="28"/>
          <w:szCs w:val="28"/>
        </w:rPr>
        <w:t xml:space="preserve"> </w:t>
      </w:r>
      <w:r>
        <w:rPr>
          <w:sz w:val="28"/>
          <w:szCs w:val="28"/>
        </w:rPr>
        <w:t>ФАС России, основными</w:t>
      </w:r>
      <w:r w:rsidRPr="006647F9">
        <w:rPr>
          <w:sz w:val="28"/>
          <w:szCs w:val="28"/>
        </w:rPr>
        <w:t xml:space="preserve"> </w:t>
      </w:r>
      <w:r>
        <w:rPr>
          <w:sz w:val="28"/>
          <w:szCs w:val="28"/>
        </w:rPr>
        <w:t>продавцами подвесных потолочных конструкций</w:t>
      </w:r>
      <w:r w:rsidRPr="006647F9">
        <w:rPr>
          <w:sz w:val="28"/>
          <w:szCs w:val="28"/>
        </w:rPr>
        <w:t xml:space="preserve"> на территории Российской Федерации являются: Группа «Армстронг»; Группа</w:t>
      </w:r>
      <w:r>
        <w:rPr>
          <w:sz w:val="28"/>
          <w:szCs w:val="28"/>
        </w:rPr>
        <w:t>» «КНАУФ»</w:t>
      </w:r>
      <w:r w:rsidRPr="006647F9">
        <w:rPr>
          <w:sz w:val="28"/>
          <w:szCs w:val="28"/>
        </w:rPr>
        <w:t>; Груп</w:t>
      </w:r>
      <w:r w:rsidR="00FF5578">
        <w:rPr>
          <w:sz w:val="28"/>
          <w:szCs w:val="28"/>
        </w:rPr>
        <w:t>па «Роквул»; ООО «Фирма Бард»; Группа «Албес»</w:t>
      </w:r>
      <w:r w:rsidRPr="006647F9">
        <w:rPr>
          <w:sz w:val="28"/>
          <w:szCs w:val="28"/>
        </w:rPr>
        <w:t xml:space="preserve">, ООО «Даймонд групп», ПО «Металлист», </w:t>
      </w:r>
      <w:r w:rsidRPr="006647F9">
        <w:rPr>
          <w:sz w:val="28"/>
          <w:szCs w:val="28"/>
        </w:rPr>
        <w:lastRenderedPageBreak/>
        <w:t>Группа «Сен-Гобен», ООО «Ю-Мет», ЗАО «Центрстройсвет»</w:t>
      </w:r>
      <w:r w:rsidR="00FF5578">
        <w:rPr>
          <w:sz w:val="28"/>
          <w:szCs w:val="28"/>
        </w:rPr>
        <w:t>, ООО «Праймет М», ЗАО «Хантер Даглас», ООО «Химмель», ООО «СПК «Д-Строй», ООО «Компания Новый мир», ООО «Цесал»</w:t>
      </w:r>
      <w:r w:rsidRPr="006647F9">
        <w:rPr>
          <w:sz w:val="28"/>
          <w:szCs w:val="28"/>
        </w:rPr>
        <w:t>.</w:t>
      </w:r>
    </w:p>
    <w:p w14:paraId="5C415232" w14:textId="77777777" w:rsidR="00FF5578" w:rsidRPr="004A3595" w:rsidRDefault="00AA2E59" w:rsidP="00315BD1">
      <w:pPr>
        <w:ind w:firstLine="709"/>
        <w:jc w:val="both"/>
        <w:rPr>
          <w:sz w:val="28"/>
          <w:szCs w:val="28"/>
        </w:rPr>
      </w:pPr>
      <w:r>
        <w:rPr>
          <w:sz w:val="28"/>
          <w:szCs w:val="28"/>
        </w:rPr>
        <w:t>Из них, имеющими в собственности на территории Российской Федерации производственные мощности по выпуску подвесных потолочных конструкций являются</w:t>
      </w:r>
      <w:r w:rsidR="00717C36">
        <w:rPr>
          <w:sz w:val="28"/>
          <w:szCs w:val="28"/>
        </w:rPr>
        <w:t>:</w:t>
      </w:r>
      <w:r>
        <w:rPr>
          <w:sz w:val="28"/>
          <w:szCs w:val="28"/>
        </w:rPr>
        <w:t xml:space="preserve"> </w:t>
      </w:r>
      <w:r w:rsidRPr="006647F9">
        <w:rPr>
          <w:sz w:val="28"/>
          <w:szCs w:val="28"/>
        </w:rPr>
        <w:t>Группа «Армстронг»</w:t>
      </w:r>
      <w:r>
        <w:rPr>
          <w:sz w:val="28"/>
          <w:szCs w:val="28"/>
        </w:rPr>
        <w:t>, Группа «Роквул», Группа «Албес», ООО «Фирма Бард»</w:t>
      </w:r>
      <w:r w:rsidR="001C619C">
        <w:rPr>
          <w:sz w:val="28"/>
          <w:szCs w:val="28"/>
        </w:rPr>
        <w:t>, ООО «Химмель», ООО «СПК «Д-Строй»,</w:t>
      </w:r>
      <w:r w:rsidR="004A3595">
        <w:rPr>
          <w:sz w:val="28"/>
          <w:szCs w:val="28"/>
        </w:rPr>
        <w:t xml:space="preserve"> </w:t>
      </w:r>
      <w:r w:rsidR="004A3595" w:rsidRPr="006647F9">
        <w:rPr>
          <w:sz w:val="28"/>
          <w:szCs w:val="28"/>
        </w:rPr>
        <w:t>ЗАО «Центрстройсвет»</w:t>
      </w:r>
      <w:r w:rsidR="004A3595">
        <w:rPr>
          <w:sz w:val="28"/>
          <w:szCs w:val="28"/>
        </w:rPr>
        <w:t>, ООО «Ю-МЕТ»</w:t>
      </w:r>
      <w:r w:rsidR="00BB7E37">
        <w:rPr>
          <w:sz w:val="28"/>
          <w:szCs w:val="28"/>
        </w:rPr>
        <w:t xml:space="preserve">, ООО «Компания Новый мир», </w:t>
      </w:r>
      <w:r w:rsidR="0082620E">
        <w:rPr>
          <w:sz w:val="28"/>
          <w:szCs w:val="28"/>
        </w:rPr>
        <w:t>ООО «ЦЕСАЛ», ООО «ПО «Металлист», ООО «Даймонд Групп».</w:t>
      </w:r>
    </w:p>
    <w:p w14:paraId="50FB413F" w14:textId="77777777" w:rsidR="0073345C" w:rsidRDefault="0073345C" w:rsidP="00315BD1">
      <w:pPr>
        <w:ind w:firstLine="709"/>
        <w:jc w:val="both"/>
        <w:rPr>
          <w:sz w:val="28"/>
          <w:szCs w:val="28"/>
        </w:rPr>
      </w:pPr>
      <w:r>
        <w:rPr>
          <w:sz w:val="28"/>
          <w:szCs w:val="28"/>
        </w:rPr>
        <w:t xml:space="preserve">Группа </w:t>
      </w:r>
      <w:r w:rsidRPr="006647F9">
        <w:rPr>
          <w:sz w:val="28"/>
          <w:szCs w:val="28"/>
        </w:rPr>
        <w:t>«Армстронг»</w:t>
      </w:r>
      <w:r>
        <w:rPr>
          <w:sz w:val="28"/>
          <w:szCs w:val="28"/>
        </w:rPr>
        <w:t xml:space="preserve"> один из крупнейших производителей строительных конструкций, в том числе потолочных систем, для коммерческих и жилых зданий. Производственные комплексы группы расположены </w:t>
      </w:r>
      <w:r w:rsidR="00717C36">
        <w:rPr>
          <w:sz w:val="28"/>
          <w:szCs w:val="28"/>
        </w:rPr>
        <w:t xml:space="preserve">в </w:t>
      </w:r>
      <w:r>
        <w:rPr>
          <w:sz w:val="28"/>
          <w:szCs w:val="28"/>
        </w:rPr>
        <w:t>США, Канаде, КНР, Австрии, Германии, Франции, Великобритании и России.</w:t>
      </w:r>
    </w:p>
    <w:p w14:paraId="5202FC1B" w14:textId="77777777" w:rsidR="0073345C" w:rsidRDefault="0073345C" w:rsidP="00315BD1">
      <w:pPr>
        <w:ind w:firstLine="709"/>
        <w:jc w:val="both"/>
        <w:rPr>
          <w:sz w:val="28"/>
          <w:szCs w:val="28"/>
        </w:rPr>
      </w:pPr>
      <w:r>
        <w:rPr>
          <w:sz w:val="28"/>
          <w:szCs w:val="28"/>
        </w:rPr>
        <w:t xml:space="preserve">На территории Российской Федерации группа представлена производственной и сбытовой компанией. </w:t>
      </w:r>
      <w:r w:rsidRPr="00FE3019">
        <w:rPr>
          <w:sz w:val="28"/>
          <w:szCs w:val="28"/>
        </w:rPr>
        <w:t>ООО «Армстронг Билдинг Продактс»</w:t>
      </w:r>
      <w:r w:rsidR="00FF5903">
        <w:rPr>
          <w:sz w:val="28"/>
          <w:szCs w:val="28"/>
        </w:rPr>
        <w:t xml:space="preserve">, расположенное в Республике Татарстан обладает полным циклом производства подвесных потолочных систем, которые реализуются через сбытовую компанию </w:t>
      </w:r>
      <w:r w:rsidR="00FF5903" w:rsidRPr="00FE3019">
        <w:rPr>
          <w:sz w:val="28"/>
          <w:szCs w:val="28"/>
        </w:rPr>
        <w:t>ООО «Армстронг Ворлд Индастриз»</w:t>
      </w:r>
      <w:r w:rsidR="00B027C6">
        <w:rPr>
          <w:sz w:val="28"/>
          <w:szCs w:val="28"/>
        </w:rPr>
        <w:t>, равно как и продукция произведенная на заводах группы в Европейском Союзе.</w:t>
      </w:r>
    </w:p>
    <w:p w14:paraId="578E7910" w14:textId="77777777" w:rsidR="00B027C6" w:rsidRDefault="00B027C6" w:rsidP="00315BD1">
      <w:pPr>
        <w:ind w:firstLine="709"/>
        <w:jc w:val="both"/>
        <w:rPr>
          <w:sz w:val="28"/>
          <w:szCs w:val="28"/>
        </w:rPr>
      </w:pPr>
      <w:r>
        <w:rPr>
          <w:sz w:val="28"/>
          <w:szCs w:val="28"/>
        </w:rPr>
        <w:t>Группа «Роквул» международная группа компаний, специализирующаяся на производстве продукции и инженерных решений на основе минеральной ваты. В Российской Федерации производство подвесных потолочных систем из группы компаний осуществляет только ООО «РОКВУЛ-СЕВЕР», расположенное в Ленинградской области.</w:t>
      </w:r>
      <w:r w:rsidR="00493993">
        <w:rPr>
          <w:sz w:val="28"/>
          <w:szCs w:val="28"/>
        </w:rPr>
        <w:t xml:space="preserve"> Произведенная продукция реализуется через головное предприятие ООО «РОКВУЛ» (Московская область). Помимо произведенной внутри страны продукции, ООО «РОКВУЛ» реализует импортированные подвесные потолочные конструкции с заводов группы компании, расположенных в Европейском Союзе.</w:t>
      </w:r>
    </w:p>
    <w:p w14:paraId="0FC7522D" w14:textId="77777777" w:rsidR="00493993" w:rsidRDefault="00493993" w:rsidP="00315BD1">
      <w:pPr>
        <w:ind w:firstLine="709"/>
        <w:jc w:val="both"/>
        <w:rPr>
          <w:sz w:val="28"/>
        </w:rPr>
      </w:pPr>
      <w:r>
        <w:rPr>
          <w:sz w:val="28"/>
          <w:szCs w:val="28"/>
        </w:rPr>
        <w:t xml:space="preserve">Группа «Албес» специализируется </w:t>
      </w:r>
      <w:r w:rsidR="00717C36">
        <w:rPr>
          <w:sz w:val="28"/>
          <w:szCs w:val="28"/>
        </w:rPr>
        <w:t xml:space="preserve">в </w:t>
      </w:r>
      <w:r w:rsidRPr="00493993">
        <w:rPr>
          <w:sz w:val="28"/>
        </w:rPr>
        <w:t>области производства строительных материалов для наружной и внутренней отделки зданий и сооружений</w:t>
      </w:r>
      <w:r>
        <w:rPr>
          <w:sz w:val="28"/>
        </w:rPr>
        <w:t>. В состав группы входят</w:t>
      </w:r>
      <w:r w:rsidR="00E92F97">
        <w:rPr>
          <w:sz w:val="28"/>
        </w:rPr>
        <w:t xml:space="preserve"> конструкторско-производственные предприятия:</w:t>
      </w:r>
      <w:r>
        <w:rPr>
          <w:sz w:val="28"/>
        </w:rPr>
        <w:t xml:space="preserve"> </w:t>
      </w:r>
      <w:r w:rsidRPr="00493993">
        <w:rPr>
          <w:sz w:val="28"/>
        </w:rPr>
        <w:t>ООО «АСТ ПРОФИЛЬ», ООО «АСП-Технолоджи»,</w:t>
      </w:r>
      <w:r w:rsidR="00E92F97">
        <w:rPr>
          <w:sz w:val="28"/>
        </w:rPr>
        <w:t xml:space="preserve"> а также сбытовая ор</w:t>
      </w:r>
      <w:r w:rsidR="004A3595">
        <w:rPr>
          <w:sz w:val="28"/>
        </w:rPr>
        <w:t>га</w:t>
      </w:r>
      <w:r w:rsidR="00E92F97">
        <w:rPr>
          <w:sz w:val="28"/>
        </w:rPr>
        <w:t>низация</w:t>
      </w:r>
      <w:r w:rsidRPr="00493993">
        <w:rPr>
          <w:sz w:val="28"/>
        </w:rPr>
        <w:t xml:space="preserve"> ООО «Торговый Дом «Албес Центр».</w:t>
      </w:r>
    </w:p>
    <w:p w14:paraId="6CA84962" w14:textId="77777777" w:rsidR="003E1387" w:rsidRDefault="003E1387" w:rsidP="00315BD1">
      <w:pPr>
        <w:ind w:firstLine="709"/>
        <w:jc w:val="both"/>
        <w:rPr>
          <w:sz w:val="28"/>
          <w:szCs w:val="28"/>
        </w:rPr>
      </w:pPr>
      <w:r>
        <w:rPr>
          <w:sz w:val="28"/>
          <w:szCs w:val="28"/>
        </w:rPr>
        <w:t>Остальные производители не входят в крупные производственные группы компаний</w:t>
      </w:r>
      <w:r w:rsidR="00696CA9">
        <w:rPr>
          <w:sz w:val="28"/>
          <w:szCs w:val="28"/>
        </w:rPr>
        <w:t>,</w:t>
      </w:r>
      <w:r>
        <w:rPr>
          <w:sz w:val="28"/>
          <w:szCs w:val="28"/>
        </w:rPr>
        <w:t xml:space="preserve"> и</w:t>
      </w:r>
      <w:r w:rsidR="00696CA9">
        <w:rPr>
          <w:sz w:val="28"/>
          <w:szCs w:val="28"/>
        </w:rPr>
        <w:t>,</w:t>
      </w:r>
      <w:r>
        <w:rPr>
          <w:sz w:val="28"/>
          <w:szCs w:val="28"/>
        </w:rPr>
        <w:t xml:space="preserve"> как правило</w:t>
      </w:r>
      <w:r w:rsidR="00696CA9">
        <w:rPr>
          <w:sz w:val="28"/>
          <w:szCs w:val="28"/>
        </w:rPr>
        <w:t>,</w:t>
      </w:r>
      <w:r>
        <w:rPr>
          <w:sz w:val="28"/>
          <w:szCs w:val="28"/>
        </w:rPr>
        <w:t xml:space="preserve"> имеют в собственности по одному производственному комплексу.</w:t>
      </w:r>
    </w:p>
    <w:p w14:paraId="0F1427EB" w14:textId="77777777" w:rsidR="00B43A24" w:rsidRDefault="003E1387" w:rsidP="00315BD1">
      <w:pPr>
        <w:ind w:firstLine="709"/>
        <w:jc w:val="both"/>
        <w:rPr>
          <w:sz w:val="28"/>
          <w:szCs w:val="28"/>
        </w:rPr>
      </w:pPr>
      <w:r>
        <w:rPr>
          <w:sz w:val="28"/>
          <w:szCs w:val="28"/>
        </w:rPr>
        <w:t xml:space="preserve">Так, </w:t>
      </w:r>
      <w:r w:rsidR="00B43A24">
        <w:rPr>
          <w:sz w:val="28"/>
          <w:szCs w:val="28"/>
        </w:rPr>
        <w:t>ООО «СПК «Д-Строй» включает в себя завод полного цикла по производству подвесных потолочных конструкций, расположенный в Свердловской области, а также два офиса продаж в г. Москва и г. Санкт-Петербург.</w:t>
      </w:r>
    </w:p>
    <w:p w14:paraId="134C2AD4" w14:textId="77777777" w:rsidR="00725DDF" w:rsidRDefault="007E7225" w:rsidP="00315BD1">
      <w:pPr>
        <w:ind w:firstLine="709"/>
        <w:jc w:val="both"/>
        <w:rPr>
          <w:sz w:val="28"/>
          <w:szCs w:val="28"/>
        </w:rPr>
      </w:pPr>
      <w:r>
        <w:rPr>
          <w:sz w:val="28"/>
          <w:szCs w:val="28"/>
        </w:rPr>
        <w:t>ООО «Фирма Бард»</w:t>
      </w:r>
      <w:r w:rsidR="00725DDF">
        <w:rPr>
          <w:sz w:val="28"/>
          <w:szCs w:val="28"/>
        </w:rPr>
        <w:t>, ООО «ЦЕСАЛ», и ООО «ПО «Металлист»</w:t>
      </w:r>
      <w:r>
        <w:rPr>
          <w:sz w:val="28"/>
          <w:szCs w:val="28"/>
        </w:rPr>
        <w:t xml:space="preserve"> осуществля</w:t>
      </w:r>
      <w:r w:rsidR="00725DDF">
        <w:rPr>
          <w:sz w:val="28"/>
          <w:szCs w:val="28"/>
        </w:rPr>
        <w:t>ю</w:t>
      </w:r>
      <w:r>
        <w:rPr>
          <w:sz w:val="28"/>
          <w:szCs w:val="28"/>
        </w:rPr>
        <w:t>т полный цикл производства подвесных потолочных систем на производственных мощностях, расположенных в Московской</w:t>
      </w:r>
      <w:r w:rsidR="00725DDF">
        <w:rPr>
          <w:sz w:val="28"/>
          <w:szCs w:val="28"/>
        </w:rPr>
        <w:t>, Калининградской, и Калужской областях соответственно</w:t>
      </w:r>
      <w:r>
        <w:rPr>
          <w:sz w:val="28"/>
          <w:szCs w:val="28"/>
        </w:rPr>
        <w:t>.</w:t>
      </w:r>
    </w:p>
    <w:p w14:paraId="6C13D34A" w14:textId="77777777" w:rsidR="00BF14AB" w:rsidRDefault="00BF14AB" w:rsidP="00315BD1">
      <w:pPr>
        <w:ind w:firstLine="709"/>
        <w:jc w:val="both"/>
        <w:rPr>
          <w:sz w:val="28"/>
          <w:szCs w:val="28"/>
        </w:rPr>
      </w:pPr>
      <w:r>
        <w:rPr>
          <w:sz w:val="28"/>
          <w:szCs w:val="28"/>
        </w:rPr>
        <w:lastRenderedPageBreak/>
        <w:t>Завод по производству подве</w:t>
      </w:r>
      <w:r w:rsidR="00CE3DB1">
        <w:rPr>
          <w:sz w:val="28"/>
          <w:szCs w:val="28"/>
        </w:rPr>
        <w:t>сных потолочных конструкций ООО </w:t>
      </w:r>
      <w:r>
        <w:rPr>
          <w:sz w:val="28"/>
          <w:szCs w:val="28"/>
        </w:rPr>
        <w:t>«Химмель» расположен в Новосибирской области.</w:t>
      </w:r>
    </w:p>
    <w:p w14:paraId="4F9DBAA3" w14:textId="77777777" w:rsidR="00BF14AB" w:rsidRDefault="004A3595" w:rsidP="00315BD1">
      <w:pPr>
        <w:ind w:firstLine="709"/>
        <w:jc w:val="both"/>
        <w:rPr>
          <w:sz w:val="28"/>
          <w:szCs w:val="28"/>
        </w:rPr>
      </w:pPr>
      <w:r w:rsidRPr="006647F9">
        <w:rPr>
          <w:sz w:val="28"/>
          <w:szCs w:val="28"/>
        </w:rPr>
        <w:t>ЗАО «Центрстройсвет»</w:t>
      </w:r>
      <w:r w:rsidR="00BF14AB">
        <w:rPr>
          <w:sz w:val="28"/>
          <w:szCs w:val="28"/>
        </w:rPr>
        <w:t xml:space="preserve"> является диверсифицированной организацией, специализирующейся на производстве осветительных приборов и подвесных потолочных конструкций. Производственные мощности организации расположены в Ярославской области. Кроме того, предприятие имеет официальные торговые представительства в г. Москва, г. Санкт-Петербург, и г. Самара.</w:t>
      </w:r>
    </w:p>
    <w:p w14:paraId="710DE9AF" w14:textId="77777777" w:rsidR="004A3595" w:rsidRDefault="004A3595" w:rsidP="00315BD1">
      <w:pPr>
        <w:ind w:firstLine="709"/>
        <w:jc w:val="both"/>
        <w:rPr>
          <w:sz w:val="28"/>
          <w:szCs w:val="28"/>
        </w:rPr>
      </w:pPr>
      <w:r>
        <w:rPr>
          <w:sz w:val="28"/>
          <w:szCs w:val="28"/>
        </w:rPr>
        <w:t>Производственные мощности ООО «Ю-МЕТ» расположены в Ростовской области, дополнительный офис продаж в г. Москва.</w:t>
      </w:r>
    </w:p>
    <w:p w14:paraId="3DCAE30C" w14:textId="77777777" w:rsidR="00CE3DB1" w:rsidRDefault="00CE3DB1" w:rsidP="00315BD1">
      <w:pPr>
        <w:ind w:firstLine="709"/>
        <w:jc w:val="both"/>
        <w:rPr>
          <w:sz w:val="28"/>
          <w:szCs w:val="28"/>
        </w:rPr>
      </w:pPr>
      <w:r>
        <w:rPr>
          <w:sz w:val="28"/>
          <w:szCs w:val="28"/>
        </w:rPr>
        <w:t>ООО «Компания Новый мир» наряду с оптово-розничными продажами широкого ассортимента строительной продукции</w:t>
      </w:r>
      <w:r w:rsidR="00696CA9">
        <w:rPr>
          <w:sz w:val="28"/>
          <w:szCs w:val="28"/>
        </w:rPr>
        <w:t>,</w:t>
      </w:r>
      <w:r>
        <w:rPr>
          <w:sz w:val="28"/>
          <w:szCs w:val="28"/>
        </w:rPr>
        <w:t xml:space="preserve"> осуществляет производство подвесных потолочных конструкций на собственных мощностях, расположенных в Нижегородской области.</w:t>
      </w:r>
    </w:p>
    <w:p w14:paraId="2B752298" w14:textId="77777777" w:rsidR="00D7311B" w:rsidRDefault="00D7311B" w:rsidP="00315BD1">
      <w:pPr>
        <w:ind w:firstLine="709"/>
        <w:jc w:val="both"/>
        <w:rPr>
          <w:sz w:val="28"/>
          <w:szCs w:val="28"/>
        </w:rPr>
      </w:pPr>
      <w:r>
        <w:rPr>
          <w:sz w:val="28"/>
          <w:szCs w:val="28"/>
        </w:rPr>
        <w:t>Остальные участники рынка – это крупные иностранные производители, осуществляющие реализацию через официальные представительства. К таким участникам относятся</w:t>
      </w:r>
      <w:r w:rsidR="00696CA9">
        <w:rPr>
          <w:sz w:val="28"/>
          <w:szCs w:val="28"/>
        </w:rPr>
        <w:t>:</w:t>
      </w:r>
      <w:r>
        <w:rPr>
          <w:sz w:val="28"/>
          <w:szCs w:val="28"/>
        </w:rPr>
        <w:t xml:space="preserve"> ООО «Сен-Гобен Строительная продукция», осуществляющая реализацию продукции, произведенной в группе лиц компании «Сент-Гобен» в Европе, ЗАО «Хантер Даглас»</w:t>
      </w:r>
      <w:r w:rsidR="005919A3">
        <w:rPr>
          <w:sz w:val="28"/>
          <w:szCs w:val="28"/>
        </w:rPr>
        <w:t>, реализующий подвесные потолочные системы производства голландской группы «Хантер Дуглас» и группа «КНАУФ».</w:t>
      </w:r>
    </w:p>
    <w:p w14:paraId="47BCF5E3" w14:textId="77777777" w:rsidR="009433B7" w:rsidRPr="006647F9" w:rsidRDefault="009433B7" w:rsidP="00EC6860">
      <w:pPr>
        <w:jc w:val="both"/>
        <w:rPr>
          <w:sz w:val="28"/>
          <w:szCs w:val="28"/>
        </w:rPr>
      </w:pPr>
    </w:p>
    <w:p w14:paraId="3731E90C" w14:textId="77777777" w:rsidR="0054305D" w:rsidRPr="00CE567D" w:rsidRDefault="0033001A" w:rsidP="00FC489D">
      <w:pPr>
        <w:pStyle w:val="1"/>
        <w:jc w:val="center"/>
        <w:rPr>
          <w:rFonts w:ascii="Times New Roman" w:hAnsi="Times New Roman" w:cs="Times New Roman"/>
          <w:b/>
          <w:color w:val="auto"/>
          <w:sz w:val="36"/>
          <w:szCs w:val="36"/>
        </w:rPr>
      </w:pPr>
      <w:bookmarkStart w:id="11" w:name="_Toc517465190"/>
      <w:bookmarkStart w:id="12" w:name="_Toc522003964"/>
      <w:r w:rsidRPr="00647628">
        <w:rPr>
          <w:rFonts w:ascii="Times New Roman" w:hAnsi="Times New Roman" w:cs="Times New Roman"/>
          <w:b/>
          <w:color w:val="auto"/>
          <w:lang w:val="en-US"/>
        </w:rPr>
        <w:t>VI</w:t>
      </w:r>
      <w:r w:rsidRPr="00647628">
        <w:rPr>
          <w:rFonts w:ascii="Times New Roman" w:hAnsi="Times New Roman" w:cs="Times New Roman"/>
          <w:b/>
          <w:color w:val="auto"/>
        </w:rPr>
        <w:t>.</w:t>
      </w:r>
      <w:r w:rsidRPr="00FC489D">
        <w:rPr>
          <w:b/>
          <w:color w:val="auto"/>
        </w:rPr>
        <w:t xml:space="preserve"> </w:t>
      </w:r>
      <w:r w:rsidR="004B705C" w:rsidRPr="00CE567D">
        <w:rPr>
          <w:rFonts w:ascii="Times New Roman" w:hAnsi="Times New Roman" w:cs="Times New Roman"/>
          <w:b/>
          <w:color w:val="auto"/>
          <w:sz w:val="36"/>
          <w:szCs w:val="36"/>
        </w:rPr>
        <w:t>Р</w:t>
      </w:r>
      <w:r w:rsidR="0054305D" w:rsidRPr="00CE567D">
        <w:rPr>
          <w:rFonts w:ascii="Times New Roman" w:hAnsi="Times New Roman" w:cs="Times New Roman"/>
          <w:b/>
          <w:color w:val="auto"/>
          <w:sz w:val="36"/>
          <w:szCs w:val="36"/>
        </w:rPr>
        <w:t>асчет объема товарного рынка и долей х</w:t>
      </w:r>
      <w:r w:rsidR="00C272B1" w:rsidRPr="00CE567D">
        <w:rPr>
          <w:rFonts w:ascii="Times New Roman" w:hAnsi="Times New Roman" w:cs="Times New Roman"/>
          <w:b/>
          <w:color w:val="auto"/>
          <w:sz w:val="36"/>
          <w:szCs w:val="36"/>
        </w:rPr>
        <w:t>озяйствующих субъектов на рынке</w:t>
      </w:r>
      <w:bookmarkEnd w:id="11"/>
      <w:bookmarkEnd w:id="12"/>
    </w:p>
    <w:p w14:paraId="10C63433" w14:textId="77777777" w:rsidR="009433B7" w:rsidRDefault="009433B7" w:rsidP="004B705C">
      <w:pPr>
        <w:ind w:firstLine="426"/>
        <w:jc w:val="both"/>
        <w:rPr>
          <w:b/>
          <w:sz w:val="28"/>
          <w:szCs w:val="28"/>
        </w:rPr>
      </w:pPr>
    </w:p>
    <w:p w14:paraId="1ECD3CE8" w14:textId="77777777" w:rsidR="00696CA9" w:rsidRDefault="00257E12" w:rsidP="00315BD1">
      <w:pPr>
        <w:ind w:firstLine="709"/>
        <w:jc w:val="both"/>
        <w:rPr>
          <w:sz w:val="28"/>
          <w:szCs w:val="28"/>
        </w:rPr>
      </w:pPr>
      <w:r w:rsidRPr="00EF7C7E">
        <w:rPr>
          <w:sz w:val="28"/>
          <w:szCs w:val="28"/>
        </w:rPr>
        <w:t xml:space="preserve">В соответствии с разделом </w:t>
      </w:r>
      <w:r w:rsidRPr="00EF7C7E">
        <w:rPr>
          <w:sz w:val="28"/>
          <w:szCs w:val="28"/>
          <w:lang w:val="en-US"/>
        </w:rPr>
        <w:t>VI</w:t>
      </w:r>
      <w:r w:rsidRPr="00EF7C7E">
        <w:rPr>
          <w:sz w:val="28"/>
          <w:szCs w:val="28"/>
        </w:rPr>
        <w:t xml:space="preserve"> Порядка проведения анализа для расчета общего объема товарных ресурсов на рынке в настоящем анализе используется показатель объема выручки хозяйствующих </w:t>
      </w:r>
      <w:r w:rsidR="00696CA9">
        <w:rPr>
          <w:sz w:val="28"/>
          <w:szCs w:val="28"/>
        </w:rPr>
        <w:t xml:space="preserve">субъектов </w:t>
      </w:r>
      <w:r w:rsidRPr="00EF7C7E">
        <w:rPr>
          <w:sz w:val="28"/>
          <w:szCs w:val="28"/>
        </w:rPr>
        <w:t xml:space="preserve">от реализации рассматриваемого товара на территории Российской Федерации. </w:t>
      </w:r>
    </w:p>
    <w:p w14:paraId="42A6427C" w14:textId="77777777" w:rsidR="00257E12" w:rsidRDefault="00257E12" w:rsidP="00315BD1">
      <w:pPr>
        <w:ind w:firstLine="709"/>
        <w:jc w:val="both"/>
        <w:rPr>
          <w:sz w:val="28"/>
          <w:szCs w:val="28"/>
        </w:rPr>
      </w:pPr>
      <w:r w:rsidRPr="00EF7C7E">
        <w:rPr>
          <w:sz w:val="28"/>
          <w:szCs w:val="28"/>
        </w:rPr>
        <w:t>Показатель выручки используется в связи дифференцированностью изготавливаемой и поставляемой продукции, а также обеспечивает сопоставимость данных по участникам рынка.</w:t>
      </w:r>
    </w:p>
    <w:p w14:paraId="7F515D58" w14:textId="77777777" w:rsidR="006A6EB5" w:rsidRDefault="004D34DD" w:rsidP="00315BD1">
      <w:pPr>
        <w:ind w:firstLine="709"/>
        <w:jc w:val="both"/>
        <w:rPr>
          <w:sz w:val="28"/>
          <w:szCs w:val="28"/>
        </w:rPr>
      </w:pPr>
      <w:r w:rsidRPr="00D84384">
        <w:rPr>
          <w:sz w:val="28"/>
          <w:szCs w:val="28"/>
        </w:rPr>
        <w:t xml:space="preserve">Доля хозяйствующего субъекта на товарном рынке определяется как выраженное в процентах отношение объема </w:t>
      </w:r>
      <w:r>
        <w:rPr>
          <w:sz w:val="28"/>
          <w:szCs w:val="28"/>
        </w:rPr>
        <w:t>выручки</w:t>
      </w:r>
      <w:r w:rsidRPr="00D84384">
        <w:rPr>
          <w:sz w:val="28"/>
          <w:szCs w:val="28"/>
        </w:rPr>
        <w:t>,</w:t>
      </w:r>
      <w:r>
        <w:rPr>
          <w:sz w:val="28"/>
          <w:szCs w:val="28"/>
        </w:rPr>
        <w:t xml:space="preserve"> полученной от реализации</w:t>
      </w:r>
      <w:r w:rsidRPr="00D84384">
        <w:rPr>
          <w:sz w:val="28"/>
          <w:szCs w:val="28"/>
        </w:rPr>
        <w:t xml:space="preserve"> </w:t>
      </w:r>
      <w:r>
        <w:rPr>
          <w:sz w:val="28"/>
          <w:szCs w:val="28"/>
        </w:rPr>
        <w:t>продукции</w:t>
      </w:r>
      <w:r w:rsidRPr="00D84384">
        <w:rPr>
          <w:sz w:val="28"/>
          <w:szCs w:val="28"/>
        </w:rPr>
        <w:t xml:space="preserve"> на рассматриваем</w:t>
      </w:r>
      <w:r>
        <w:rPr>
          <w:sz w:val="28"/>
          <w:szCs w:val="28"/>
        </w:rPr>
        <w:t>ом</w:t>
      </w:r>
      <w:r w:rsidRPr="00D84384">
        <w:rPr>
          <w:sz w:val="28"/>
          <w:szCs w:val="28"/>
        </w:rPr>
        <w:t xml:space="preserve"> товарн</w:t>
      </w:r>
      <w:r>
        <w:rPr>
          <w:sz w:val="28"/>
          <w:szCs w:val="28"/>
        </w:rPr>
        <w:t>ом</w:t>
      </w:r>
      <w:r w:rsidRPr="00D84384">
        <w:rPr>
          <w:sz w:val="28"/>
          <w:szCs w:val="28"/>
        </w:rPr>
        <w:t xml:space="preserve"> рын</w:t>
      </w:r>
      <w:r>
        <w:rPr>
          <w:sz w:val="28"/>
          <w:szCs w:val="28"/>
        </w:rPr>
        <w:t>ке</w:t>
      </w:r>
      <w:r w:rsidRPr="00D84384">
        <w:rPr>
          <w:sz w:val="28"/>
          <w:szCs w:val="28"/>
        </w:rPr>
        <w:t>, к общему объему товарной массы на рынке.</w:t>
      </w:r>
    </w:p>
    <w:p w14:paraId="6F76F20D" w14:textId="77777777" w:rsidR="004D34DD" w:rsidRPr="006A6EB5" w:rsidRDefault="004D34DD" w:rsidP="00315BD1">
      <w:pPr>
        <w:ind w:firstLine="709"/>
        <w:jc w:val="both"/>
        <w:rPr>
          <w:sz w:val="28"/>
          <w:szCs w:val="28"/>
        </w:rPr>
      </w:pPr>
      <w:r>
        <w:rPr>
          <w:sz w:val="28"/>
          <w:szCs w:val="28"/>
        </w:rPr>
        <w:t xml:space="preserve">Объем товарных ресурсов на рынке </w:t>
      </w:r>
      <w:r w:rsidR="006A6EB5">
        <w:rPr>
          <w:sz w:val="28"/>
          <w:szCs w:val="28"/>
        </w:rPr>
        <w:t>подвесных потолочных конструкций</w:t>
      </w:r>
      <w:r>
        <w:rPr>
          <w:sz w:val="28"/>
          <w:szCs w:val="28"/>
        </w:rPr>
        <w:t xml:space="preserve"> в границах Российской Федерации в 201</w:t>
      </w:r>
      <w:r w:rsidR="006A6EB5">
        <w:rPr>
          <w:sz w:val="28"/>
          <w:szCs w:val="28"/>
        </w:rPr>
        <w:t>6</w:t>
      </w:r>
      <w:r>
        <w:rPr>
          <w:sz w:val="28"/>
          <w:szCs w:val="28"/>
        </w:rPr>
        <w:t xml:space="preserve"> </w:t>
      </w:r>
      <w:r w:rsidRPr="006A6EB5">
        <w:rPr>
          <w:sz w:val="28"/>
          <w:szCs w:val="28"/>
        </w:rPr>
        <w:t xml:space="preserve">составил </w:t>
      </w:r>
      <w:r w:rsidR="006A6EB5" w:rsidRPr="006A6EB5">
        <w:rPr>
          <w:color w:val="000000"/>
          <w:sz w:val="28"/>
          <w:szCs w:val="28"/>
        </w:rPr>
        <w:t xml:space="preserve">7 885 962 785 </w:t>
      </w:r>
      <w:r w:rsidRPr="006A6EB5">
        <w:rPr>
          <w:sz w:val="28"/>
          <w:szCs w:val="28"/>
        </w:rPr>
        <w:t>руб., в 201</w:t>
      </w:r>
      <w:r w:rsidR="006A6EB5" w:rsidRPr="006A6EB5">
        <w:rPr>
          <w:sz w:val="28"/>
          <w:szCs w:val="28"/>
        </w:rPr>
        <w:t>7</w:t>
      </w:r>
      <w:r w:rsidRPr="006A6EB5">
        <w:rPr>
          <w:sz w:val="28"/>
          <w:szCs w:val="28"/>
        </w:rPr>
        <w:t xml:space="preserve"> – </w:t>
      </w:r>
      <w:r w:rsidR="006A6EB5" w:rsidRPr="006A6EB5">
        <w:rPr>
          <w:color w:val="000000"/>
          <w:sz w:val="28"/>
          <w:szCs w:val="28"/>
        </w:rPr>
        <w:t xml:space="preserve">9 003 106 685 </w:t>
      </w:r>
      <w:r w:rsidRPr="006A6EB5">
        <w:rPr>
          <w:sz w:val="28"/>
          <w:szCs w:val="28"/>
        </w:rPr>
        <w:t>ру</w:t>
      </w:r>
      <w:r w:rsidR="006A6EB5" w:rsidRPr="006A6EB5">
        <w:rPr>
          <w:sz w:val="28"/>
          <w:szCs w:val="28"/>
        </w:rPr>
        <w:t>б</w:t>
      </w:r>
      <w:r w:rsidRPr="006A6EB5">
        <w:rPr>
          <w:sz w:val="28"/>
          <w:szCs w:val="28"/>
        </w:rPr>
        <w:t>.</w:t>
      </w:r>
    </w:p>
    <w:p w14:paraId="4130CAF1" w14:textId="5A80FD1A" w:rsidR="004D34DD" w:rsidRDefault="004D34DD" w:rsidP="00315BD1">
      <w:pPr>
        <w:ind w:firstLine="709"/>
        <w:jc w:val="both"/>
        <w:rPr>
          <w:sz w:val="28"/>
        </w:rPr>
      </w:pPr>
      <w:r w:rsidRPr="00EF7C7E">
        <w:rPr>
          <w:sz w:val="28"/>
        </w:rPr>
        <w:t>Доли хозяйствующих субъектов на рынке</w:t>
      </w:r>
      <w:r w:rsidR="00696CA9">
        <w:rPr>
          <w:sz w:val="28"/>
        </w:rPr>
        <w:t xml:space="preserve"> </w:t>
      </w:r>
      <w:r w:rsidR="00696CA9">
        <w:rPr>
          <w:sz w:val="28"/>
          <w:szCs w:val="28"/>
        </w:rPr>
        <w:t>подвесных потолочных систем</w:t>
      </w:r>
      <w:r w:rsidRPr="00EF7C7E">
        <w:rPr>
          <w:sz w:val="28"/>
        </w:rPr>
        <w:t>, в границах Российской Федерации представлены в таблице</w:t>
      </w:r>
      <w:r w:rsidR="00C55A50">
        <w:rPr>
          <w:sz w:val="28"/>
        </w:rPr>
        <w:t xml:space="preserve"> 1</w:t>
      </w:r>
      <w:r>
        <w:rPr>
          <w:sz w:val="28"/>
        </w:rPr>
        <w:t>.</w:t>
      </w:r>
    </w:p>
    <w:p w14:paraId="07E660E3" w14:textId="77777777" w:rsidR="0026340F" w:rsidRDefault="0026340F" w:rsidP="004D34DD">
      <w:pPr>
        <w:ind w:firstLine="709"/>
        <w:jc w:val="both"/>
        <w:rPr>
          <w:sz w:val="28"/>
        </w:rPr>
      </w:pPr>
    </w:p>
    <w:p w14:paraId="2C1F9612" w14:textId="77777777" w:rsidR="00696CA9" w:rsidRDefault="00696CA9" w:rsidP="004D34DD">
      <w:pPr>
        <w:ind w:firstLine="709"/>
        <w:jc w:val="both"/>
        <w:rPr>
          <w:sz w:val="28"/>
        </w:rPr>
      </w:pPr>
    </w:p>
    <w:p w14:paraId="52CCED74" w14:textId="77777777" w:rsidR="0026340F" w:rsidRDefault="0026340F" w:rsidP="0026340F">
      <w:pPr>
        <w:pStyle w:val="af1"/>
        <w:keepNext/>
        <w:jc w:val="right"/>
      </w:pPr>
      <w:r w:rsidRPr="006601BA">
        <w:rPr>
          <w:sz w:val="24"/>
        </w:rPr>
        <w:lastRenderedPageBreak/>
        <w:t xml:space="preserve">Таблица </w:t>
      </w:r>
      <w:r w:rsidRPr="006601BA">
        <w:rPr>
          <w:sz w:val="24"/>
        </w:rPr>
        <w:fldChar w:fldCharType="begin"/>
      </w:r>
      <w:r w:rsidRPr="006601BA">
        <w:rPr>
          <w:sz w:val="24"/>
        </w:rPr>
        <w:instrText xml:space="preserve"> SEQ Таблица \* ARABIC </w:instrText>
      </w:r>
      <w:r w:rsidRPr="006601BA">
        <w:rPr>
          <w:sz w:val="24"/>
        </w:rPr>
        <w:fldChar w:fldCharType="separate"/>
      </w:r>
      <w:r w:rsidR="00647628">
        <w:rPr>
          <w:noProof/>
          <w:sz w:val="24"/>
        </w:rPr>
        <w:t>1</w:t>
      </w:r>
      <w:r w:rsidRPr="006601BA">
        <w:rPr>
          <w:sz w:val="24"/>
        </w:rPr>
        <w:fldChar w:fldCharType="end"/>
      </w:r>
    </w:p>
    <w:tbl>
      <w:tblPr>
        <w:tblW w:w="9497" w:type="dxa"/>
        <w:tblInd w:w="416" w:type="dxa"/>
        <w:tblLayout w:type="fixed"/>
        <w:tblLook w:val="04A0" w:firstRow="1" w:lastRow="0" w:firstColumn="1" w:lastColumn="0" w:noHBand="0" w:noVBand="1"/>
      </w:tblPr>
      <w:tblGrid>
        <w:gridCol w:w="3402"/>
        <w:gridCol w:w="1134"/>
        <w:gridCol w:w="1984"/>
        <w:gridCol w:w="992"/>
        <w:gridCol w:w="1985"/>
      </w:tblGrid>
      <w:tr w:rsidR="00C55A50" w:rsidRPr="00766DD9" w14:paraId="4F021275" w14:textId="77777777" w:rsidTr="00B6406A">
        <w:trPr>
          <w:trHeight w:val="169"/>
        </w:trPr>
        <w:tc>
          <w:tcPr>
            <w:tcW w:w="3402" w:type="dxa"/>
            <w:vMerge w:val="restart"/>
            <w:tcBorders>
              <w:top w:val="single" w:sz="8" w:space="0" w:color="auto"/>
              <w:left w:val="single" w:sz="8" w:space="0" w:color="auto"/>
              <w:right w:val="single" w:sz="8" w:space="0" w:color="auto"/>
            </w:tcBorders>
            <w:shd w:val="clear" w:color="auto" w:fill="F7CAAC"/>
            <w:noWrap/>
            <w:vAlign w:val="center"/>
            <w:hideMark/>
          </w:tcPr>
          <w:p w14:paraId="1ABE6ED5" w14:textId="77777777" w:rsidR="00C55A50" w:rsidRPr="00CE567D" w:rsidRDefault="00C55A50" w:rsidP="00CA403B">
            <w:pPr>
              <w:spacing w:line="247" w:lineRule="auto"/>
              <w:jc w:val="center"/>
              <w:rPr>
                <w:b/>
                <w:sz w:val="27"/>
                <w:szCs w:val="27"/>
              </w:rPr>
            </w:pPr>
            <w:r w:rsidRPr="00CE567D">
              <w:rPr>
                <w:b/>
                <w:sz w:val="27"/>
                <w:szCs w:val="27"/>
              </w:rPr>
              <w:t>Наименование х/с</w:t>
            </w:r>
          </w:p>
        </w:tc>
        <w:tc>
          <w:tcPr>
            <w:tcW w:w="3118" w:type="dxa"/>
            <w:gridSpan w:val="2"/>
            <w:tcBorders>
              <w:top w:val="single" w:sz="8" w:space="0" w:color="auto"/>
              <w:left w:val="nil"/>
              <w:bottom w:val="single" w:sz="4" w:space="0" w:color="auto"/>
              <w:right w:val="single" w:sz="8" w:space="0" w:color="000000"/>
            </w:tcBorders>
            <w:shd w:val="clear" w:color="auto" w:fill="F7CAAC"/>
          </w:tcPr>
          <w:p w14:paraId="16AEA63E" w14:textId="77777777" w:rsidR="00C55A50" w:rsidRPr="00CE567D" w:rsidRDefault="00C55A50" w:rsidP="00CA403B">
            <w:pPr>
              <w:spacing w:line="247" w:lineRule="auto"/>
              <w:jc w:val="center"/>
              <w:rPr>
                <w:b/>
                <w:sz w:val="27"/>
                <w:szCs w:val="27"/>
              </w:rPr>
            </w:pPr>
            <w:r w:rsidRPr="00CE567D">
              <w:rPr>
                <w:b/>
                <w:sz w:val="27"/>
                <w:szCs w:val="27"/>
              </w:rPr>
              <w:t>2016</w:t>
            </w:r>
          </w:p>
        </w:tc>
        <w:tc>
          <w:tcPr>
            <w:tcW w:w="2977" w:type="dxa"/>
            <w:gridSpan w:val="2"/>
            <w:tcBorders>
              <w:top w:val="single" w:sz="8" w:space="0" w:color="auto"/>
              <w:left w:val="nil"/>
              <w:bottom w:val="single" w:sz="4" w:space="0" w:color="auto"/>
              <w:right w:val="single" w:sz="8" w:space="0" w:color="000000"/>
            </w:tcBorders>
            <w:shd w:val="clear" w:color="auto" w:fill="F7CAAC"/>
          </w:tcPr>
          <w:p w14:paraId="452C493A" w14:textId="77777777" w:rsidR="00C55A50" w:rsidRPr="00CE567D" w:rsidRDefault="00C55A50" w:rsidP="00CA403B">
            <w:pPr>
              <w:spacing w:line="247" w:lineRule="auto"/>
              <w:jc w:val="center"/>
              <w:rPr>
                <w:b/>
                <w:sz w:val="27"/>
                <w:szCs w:val="27"/>
              </w:rPr>
            </w:pPr>
            <w:r w:rsidRPr="00CE567D">
              <w:rPr>
                <w:b/>
                <w:sz w:val="27"/>
                <w:szCs w:val="27"/>
              </w:rPr>
              <w:t>2017</w:t>
            </w:r>
          </w:p>
        </w:tc>
      </w:tr>
      <w:tr w:rsidR="00964253" w:rsidRPr="00766DD9" w14:paraId="35521EE7" w14:textId="77777777" w:rsidTr="00B6406A">
        <w:trPr>
          <w:trHeight w:val="169"/>
        </w:trPr>
        <w:tc>
          <w:tcPr>
            <w:tcW w:w="3402" w:type="dxa"/>
            <w:vMerge/>
            <w:tcBorders>
              <w:left w:val="single" w:sz="8" w:space="0" w:color="auto"/>
              <w:bottom w:val="nil"/>
              <w:right w:val="single" w:sz="8" w:space="0" w:color="auto"/>
            </w:tcBorders>
            <w:shd w:val="clear" w:color="auto" w:fill="F7CAAC"/>
            <w:noWrap/>
            <w:vAlign w:val="center"/>
          </w:tcPr>
          <w:p w14:paraId="1D8AEAEC" w14:textId="77777777" w:rsidR="00C55A50" w:rsidRPr="00CE567D" w:rsidRDefault="00C55A50" w:rsidP="00CA403B">
            <w:pPr>
              <w:spacing w:line="247" w:lineRule="auto"/>
              <w:jc w:val="center"/>
              <w:rPr>
                <w:b/>
                <w:sz w:val="27"/>
                <w:szCs w:val="27"/>
              </w:rPr>
            </w:pPr>
          </w:p>
        </w:tc>
        <w:tc>
          <w:tcPr>
            <w:tcW w:w="1134" w:type="dxa"/>
            <w:tcBorders>
              <w:top w:val="single" w:sz="8" w:space="0" w:color="auto"/>
              <w:left w:val="nil"/>
              <w:bottom w:val="single" w:sz="4" w:space="0" w:color="auto"/>
              <w:right w:val="single" w:sz="4" w:space="0" w:color="auto"/>
            </w:tcBorders>
            <w:shd w:val="clear" w:color="auto" w:fill="F7CAAC"/>
          </w:tcPr>
          <w:p w14:paraId="75632018" w14:textId="77777777" w:rsidR="00C55A50" w:rsidRPr="00CE567D" w:rsidRDefault="00C55A50" w:rsidP="00CA403B">
            <w:pPr>
              <w:spacing w:line="247" w:lineRule="auto"/>
              <w:jc w:val="center"/>
              <w:rPr>
                <w:b/>
                <w:sz w:val="27"/>
                <w:szCs w:val="27"/>
              </w:rPr>
            </w:pPr>
            <w:r w:rsidRPr="00CE567D">
              <w:rPr>
                <w:b/>
                <w:sz w:val="27"/>
                <w:szCs w:val="27"/>
              </w:rPr>
              <w:t>Руб.</w:t>
            </w:r>
          </w:p>
        </w:tc>
        <w:tc>
          <w:tcPr>
            <w:tcW w:w="1984" w:type="dxa"/>
            <w:tcBorders>
              <w:top w:val="single" w:sz="8" w:space="0" w:color="auto"/>
              <w:left w:val="single" w:sz="4" w:space="0" w:color="auto"/>
              <w:bottom w:val="single" w:sz="4" w:space="0" w:color="auto"/>
              <w:right w:val="single" w:sz="8" w:space="0" w:color="000000"/>
            </w:tcBorders>
            <w:shd w:val="clear" w:color="auto" w:fill="F7CAAC"/>
          </w:tcPr>
          <w:p w14:paraId="76D33A0B" w14:textId="77777777" w:rsidR="00C55A50" w:rsidRPr="00CE567D" w:rsidRDefault="00C55A50" w:rsidP="00CA403B">
            <w:pPr>
              <w:spacing w:line="247" w:lineRule="auto"/>
              <w:jc w:val="center"/>
              <w:rPr>
                <w:b/>
                <w:sz w:val="27"/>
                <w:szCs w:val="27"/>
              </w:rPr>
            </w:pPr>
            <w:r w:rsidRPr="00CE567D">
              <w:rPr>
                <w:b/>
                <w:sz w:val="27"/>
                <w:szCs w:val="27"/>
              </w:rPr>
              <w:t>%</w:t>
            </w:r>
          </w:p>
        </w:tc>
        <w:tc>
          <w:tcPr>
            <w:tcW w:w="992" w:type="dxa"/>
            <w:tcBorders>
              <w:top w:val="single" w:sz="8" w:space="0" w:color="auto"/>
              <w:left w:val="nil"/>
              <w:bottom w:val="single" w:sz="4" w:space="0" w:color="auto"/>
              <w:right w:val="single" w:sz="4" w:space="0" w:color="auto"/>
            </w:tcBorders>
            <w:shd w:val="clear" w:color="auto" w:fill="F7CAAC"/>
          </w:tcPr>
          <w:p w14:paraId="2066A59E" w14:textId="77777777" w:rsidR="00C55A50" w:rsidRPr="00CE567D" w:rsidRDefault="00C55A50" w:rsidP="00CA403B">
            <w:pPr>
              <w:spacing w:line="247" w:lineRule="auto"/>
              <w:jc w:val="center"/>
              <w:rPr>
                <w:b/>
                <w:sz w:val="27"/>
                <w:szCs w:val="27"/>
              </w:rPr>
            </w:pPr>
            <w:r w:rsidRPr="00CE567D">
              <w:rPr>
                <w:b/>
                <w:sz w:val="27"/>
                <w:szCs w:val="27"/>
              </w:rPr>
              <w:t>Руб.</w:t>
            </w:r>
          </w:p>
        </w:tc>
        <w:tc>
          <w:tcPr>
            <w:tcW w:w="1985" w:type="dxa"/>
            <w:tcBorders>
              <w:top w:val="single" w:sz="8" w:space="0" w:color="auto"/>
              <w:left w:val="single" w:sz="4" w:space="0" w:color="auto"/>
              <w:bottom w:val="single" w:sz="4" w:space="0" w:color="auto"/>
              <w:right w:val="single" w:sz="8" w:space="0" w:color="000000"/>
            </w:tcBorders>
            <w:shd w:val="clear" w:color="auto" w:fill="F7CAAC"/>
          </w:tcPr>
          <w:p w14:paraId="1CEC6E59" w14:textId="77777777" w:rsidR="00C55A50" w:rsidRPr="00CE567D" w:rsidRDefault="00C55A50" w:rsidP="00CA403B">
            <w:pPr>
              <w:spacing w:line="247" w:lineRule="auto"/>
              <w:jc w:val="center"/>
              <w:rPr>
                <w:b/>
                <w:sz w:val="27"/>
                <w:szCs w:val="27"/>
              </w:rPr>
            </w:pPr>
            <w:r w:rsidRPr="00CE567D">
              <w:rPr>
                <w:b/>
                <w:sz w:val="27"/>
                <w:szCs w:val="27"/>
              </w:rPr>
              <w:t>%</w:t>
            </w:r>
          </w:p>
        </w:tc>
      </w:tr>
      <w:tr w:rsidR="00FB2C6D" w:rsidRPr="00766DD9" w14:paraId="61DBB38F" w14:textId="77777777" w:rsidTr="00B6406A">
        <w:trPr>
          <w:trHeight w:val="285"/>
        </w:trPr>
        <w:tc>
          <w:tcPr>
            <w:tcW w:w="3402" w:type="dxa"/>
            <w:tcBorders>
              <w:top w:val="single" w:sz="8" w:space="0" w:color="auto"/>
              <w:left w:val="single" w:sz="8" w:space="0" w:color="auto"/>
              <w:bottom w:val="single" w:sz="4" w:space="0" w:color="auto"/>
              <w:right w:val="single" w:sz="4" w:space="0" w:color="auto"/>
            </w:tcBorders>
            <w:shd w:val="clear" w:color="auto" w:fill="auto"/>
            <w:noWrap/>
          </w:tcPr>
          <w:p w14:paraId="2A786434" w14:textId="77777777" w:rsidR="00FB2C6D" w:rsidRPr="0026340F" w:rsidRDefault="00FB2C6D" w:rsidP="00FB2C6D">
            <w:pPr>
              <w:jc w:val="center"/>
              <w:textAlignment w:val="baseline"/>
            </w:pPr>
            <w:r w:rsidRPr="0026340F">
              <w:t>Группа «Армстронг»</w:t>
            </w:r>
          </w:p>
        </w:tc>
        <w:tc>
          <w:tcPr>
            <w:tcW w:w="1134" w:type="dxa"/>
            <w:tcBorders>
              <w:top w:val="single" w:sz="8" w:space="0" w:color="auto"/>
              <w:left w:val="single" w:sz="4" w:space="0" w:color="auto"/>
              <w:bottom w:val="single" w:sz="4" w:space="0" w:color="auto"/>
              <w:right w:val="single" w:sz="4" w:space="0" w:color="auto"/>
            </w:tcBorders>
          </w:tcPr>
          <w:p w14:paraId="67A8E206" w14:textId="1519036A" w:rsidR="00FB2C6D" w:rsidRPr="00FB2C6D" w:rsidRDefault="00FB2C6D" w:rsidP="00FB2C6D">
            <w:pPr>
              <w:spacing w:line="247" w:lineRule="auto"/>
              <w:jc w:val="center"/>
              <w:outlineLvl w:val="1"/>
              <w:rPr>
                <w:lang w:val="en-US"/>
              </w:rPr>
            </w:pPr>
            <w:r>
              <w:rPr>
                <w:lang w:val="en-US"/>
              </w:rPr>
              <w:t>-</w:t>
            </w:r>
          </w:p>
        </w:tc>
        <w:tc>
          <w:tcPr>
            <w:tcW w:w="1984" w:type="dxa"/>
            <w:tcBorders>
              <w:top w:val="single" w:sz="8" w:space="0" w:color="auto"/>
              <w:left w:val="single" w:sz="4" w:space="0" w:color="auto"/>
              <w:bottom w:val="single" w:sz="4" w:space="0" w:color="auto"/>
              <w:right w:val="single" w:sz="8" w:space="0" w:color="auto"/>
            </w:tcBorders>
            <w:shd w:val="clear" w:color="auto" w:fill="auto"/>
            <w:noWrap/>
            <w:vAlign w:val="center"/>
          </w:tcPr>
          <w:p w14:paraId="54F3F6CA" w14:textId="0671BA4A" w:rsidR="00FB2C6D" w:rsidRPr="00FB2C6D" w:rsidRDefault="00FB2C6D" w:rsidP="00FB2C6D">
            <w:pPr>
              <w:spacing w:line="247" w:lineRule="auto"/>
              <w:jc w:val="center"/>
              <w:outlineLvl w:val="1"/>
            </w:pPr>
            <w:r>
              <w:t>Менее 50</w:t>
            </w:r>
          </w:p>
        </w:tc>
        <w:tc>
          <w:tcPr>
            <w:tcW w:w="992" w:type="dxa"/>
            <w:tcBorders>
              <w:top w:val="single" w:sz="8" w:space="0" w:color="auto"/>
              <w:left w:val="nil"/>
              <w:bottom w:val="single" w:sz="4" w:space="0" w:color="auto"/>
              <w:right w:val="single" w:sz="4" w:space="0" w:color="auto"/>
            </w:tcBorders>
          </w:tcPr>
          <w:p w14:paraId="2E4F91D4" w14:textId="2B9C3EDE" w:rsidR="00FB2C6D" w:rsidRPr="00FB2C6D" w:rsidRDefault="00FB2C6D" w:rsidP="00FB2C6D">
            <w:pPr>
              <w:spacing w:line="247" w:lineRule="auto"/>
              <w:jc w:val="center"/>
              <w:outlineLvl w:val="1"/>
              <w:rPr>
                <w:lang w:val="en-US"/>
              </w:rPr>
            </w:pPr>
            <w:r>
              <w:rPr>
                <w:lang w:val="en-US"/>
              </w:rPr>
              <w:t>-</w:t>
            </w:r>
          </w:p>
        </w:tc>
        <w:tc>
          <w:tcPr>
            <w:tcW w:w="1985" w:type="dxa"/>
            <w:tcBorders>
              <w:top w:val="single" w:sz="8" w:space="0" w:color="auto"/>
              <w:left w:val="single" w:sz="4" w:space="0" w:color="auto"/>
              <w:bottom w:val="single" w:sz="4" w:space="0" w:color="auto"/>
              <w:right w:val="single" w:sz="8" w:space="0" w:color="auto"/>
            </w:tcBorders>
            <w:shd w:val="clear" w:color="auto" w:fill="auto"/>
            <w:vAlign w:val="center"/>
          </w:tcPr>
          <w:p w14:paraId="3D9A41D1" w14:textId="25C41AC2" w:rsidR="00FB2C6D" w:rsidRPr="0026340F" w:rsidRDefault="00FB2C6D" w:rsidP="00FB2C6D">
            <w:pPr>
              <w:spacing w:line="247" w:lineRule="auto"/>
              <w:jc w:val="center"/>
              <w:outlineLvl w:val="1"/>
            </w:pPr>
            <w:r>
              <w:t>Менее 50</w:t>
            </w:r>
          </w:p>
        </w:tc>
      </w:tr>
      <w:tr w:rsidR="00FB2C6D" w:rsidRPr="00766DD9" w14:paraId="3B4C77C0" w14:textId="77777777" w:rsidTr="00B6406A">
        <w:trPr>
          <w:trHeight w:val="315"/>
        </w:trPr>
        <w:tc>
          <w:tcPr>
            <w:tcW w:w="3402" w:type="dxa"/>
            <w:tcBorders>
              <w:top w:val="single" w:sz="4" w:space="0" w:color="auto"/>
              <w:left w:val="single" w:sz="8" w:space="0" w:color="auto"/>
              <w:bottom w:val="single" w:sz="4" w:space="0" w:color="auto"/>
              <w:right w:val="single" w:sz="4" w:space="0" w:color="auto"/>
            </w:tcBorders>
            <w:shd w:val="clear" w:color="auto" w:fill="auto"/>
            <w:noWrap/>
          </w:tcPr>
          <w:p w14:paraId="44845D79" w14:textId="77777777" w:rsidR="00FB2C6D" w:rsidRPr="0026340F" w:rsidRDefault="00FB2C6D" w:rsidP="00FB2C6D">
            <w:pPr>
              <w:jc w:val="center"/>
              <w:textAlignment w:val="baseline"/>
            </w:pPr>
            <w:r w:rsidRPr="0026340F">
              <w:t>Группа «Кнауф»</w:t>
            </w:r>
          </w:p>
        </w:tc>
        <w:tc>
          <w:tcPr>
            <w:tcW w:w="1134" w:type="dxa"/>
            <w:tcBorders>
              <w:top w:val="nil"/>
              <w:left w:val="single" w:sz="4" w:space="0" w:color="auto"/>
              <w:bottom w:val="single" w:sz="4" w:space="0" w:color="auto"/>
              <w:right w:val="single" w:sz="4" w:space="0" w:color="auto"/>
            </w:tcBorders>
          </w:tcPr>
          <w:p w14:paraId="2502D3B5" w14:textId="7AF6E9E7" w:rsidR="00FB2C6D" w:rsidRPr="00FB2C6D" w:rsidRDefault="00FB2C6D" w:rsidP="00FB2C6D">
            <w:pPr>
              <w:spacing w:line="247" w:lineRule="auto"/>
              <w:jc w:val="center"/>
              <w:outlineLvl w:val="1"/>
              <w:rPr>
                <w:lang w:val="en-US"/>
              </w:rPr>
            </w:pPr>
            <w:r>
              <w:rPr>
                <w:lang w:val="en-US"/>
              </w:rPr>
              <w:t>-</w:t>
            </w:r>
          </w:p>
        </w:tc>
        <w:tc>
          <w:tcPr>
            <w:tcW w:w="1984" w:type="dxa"/>
            <w:tcBorders>
              <w:top w:val="nil"/>
              <w:left w:val="single" w:sz="4" w:space="0" w:color="auto"/>
              <w:bottom w:val="single" w:sz="4" w:space="0" w:color="auto"/>
              <w:right w:val="single" w:sz="8" w:space="0" w:color="auto"/>
            </w:tcBorders>
            <w:shd w:val="clear" w:color="auto" w:fill="auto"/>
            <w:noWrap/>
            <w:vAlign w:val="center"/>
          </w:tcPr>
          <w:p w14:paraId="78809E0B" w14:textId="42B667B9" w:rsidR="00FB2C6D" w:rsidRPr="0026340F" w:rsidRDefault="00FB2C6D" w:rsidP="00FB2C6D">
            <w:pPr>
              <w:spacing w:line="247" w:lineRule="auto"/>
              <w:jc w:val="center"/>
              <w:outlineLvl w:val="1"/>
            </w:pPr>
            <w:r>
              <w:t>Менее 50</w:t>
            </w:r>
          </w:p>
        </w:tc>
        <w:tc>
          <w:tcPr>
            <w:tcW w:w="992" w:type="dxa"/>
            <w:tcBorders>
              <w:top w:val="nil"/>
              <w:left w:val="nil"/>
              <w:bottom w:val="single" w:sz="4" w:space="0" w:color="auto"/>
              <w:right w:val="single" w:sz="4" w:space="0" w:color="auto"/>
            </w:tcBorders>
          </w:tcPr>
          <w:p w14:paraId="793BFD49" w14:textId="6D6154F1" w:rsidR="00FB2C6D" w:rsidRPr="00FB2C6D" w:rsidRDefault="00FB2C6D" w:rsidP="00FB2C6D">
            <w:pPr>
              <w:spacing w:line="247" w:lineRule="auto"/>
              <w:jc w:val="center"/>
              <w:outlineLvl w:val="1"/>
              <w:rPr>
                <w:lang w:val="en-US"/>
              </w:rPr>
            </w:pPr>
            <w:r>
              <w:rPr>
                <w:lang w:val="en-US"/>
              </w:rPr>
              <w:t>-</w:t>
            </w:r>
          </w:p>
        </w:tc>
        <w:tc>
          <w:tcPr>
            <w:tcW w:w="1985" w:type="dxa"/>
            <w:tcBorders>
              <w:top w:val="nil"/>
              <w:left w:val="single" w:sz="4" w:space="0" w:color="auto"/>
              <w:bottom w:val="single" w:sz="4" w:space="0" w:color="auto"/>
              <w:right w:val="single" w:sz="8" w:space="0" w:color="auto"/>
            </w:tcBorders>
            <w:shd w:val="clear" w:color="auto" w:fill="auto"/>
            <w:vAlign w:val="center"/>
          </w:tcPr>
          <w:p w14:paraId="0D70CBF0" w14:textId="31759A57" w:rsidR="00FB2C6D" w:rsidRPr="0026340F" w:rsidRDefault="00FB2C6D" w:rsidP="00FB2C6D">
            <w:pPr>
              <w:spacing w:line="247" w:lineRule="auto"/>
              <w:jc w:val="center"/>
              <w:outlineLvl w:val="1"/>
            </w:pPr>
            <w:r>
              <w:t>Менее 50</w:t>
            </w:r>
          </w:p>
        </w:tc>
      </w:tr>
      <w:tr w:rsidR="00FB2C6D" w:rsidRPr="00766DD9" w14:paraId="3E4550FB" w14:textId="77777777" w:rsidTr="00B6406A">
        <w:trPr>
          <w:trHeight w:val="330"/>
        </w:trPr>
        <w:tc>
          <w:tcPr>
            <w:tcW w:w="3402" w:type="dxa"/>
            <w:tcBorders>
              <w:top w:val="nil"/>
              <w:left w:val="single" w:sz="8" w:space="0" w:color="auto"/>
              <w:bottom w:val="single" w:sz="8" w:space="0" w:color="auto"/>
              <w:right w:val="single" w:sz="4" w:space="0" w:color="auto"/>
            </w:tcBorders>
            <w:shd w:val="clear" w:color="auto" w:fill="auto"/>
            <w:noWrap/>
          </w:tcPr>
          <w:p w14:paraId="7F9AD81D" w14:textId="77777777" w:rsidR="00FB2C6D" w:rsidRPr="0026340F" w:rsidRDefault="00FB2C6D" w:rsidP="00FB2C6D">
            <w:pPr>
              <w:jc w:val="center"/>
              <w:textAlignment w:val="baseline"/>
            </w:pPr>
            <w:r w:rsidRPr="0026340F">
              <w:t>Группа «Албес»</w:t>
            </w:r>
          </w:p>
        </w:tc>
        <w:tc>
          <w:tcPr>
            <w:tcW w:w="1134" w:type="dxa"/>
            <w:tcBorders>
              <w:top w:val="nil"/>
              <w:left w:val="single" w:sz="4" w:space="0" w:color="auto"/>
              <w:bottom w:val="single" w:sz="8" w:space="0" w:color="auto"/>
              <w:right w:val="single" w:sz="4" w:space="0" w:color="auto"/>
            </w:tcBorders>
          </w:tcPr>
          <w:p w14:paraId="7261C8CB" w14:textId="35E279FB" w:rsidR="00FB2C6D" w:rsidRPr="00FB2C6D" w:rsidRDefault="00FB2C6D" w:rsidP="00FB2C6D">
            <w:pPr>
              <w:spacing w:line="247" w:lineRule="auto"/>
              <w:jc w:val="center"/>
              <w:outlineLvl w:val="1"/>
              <w:rPr>
                <w:lang w:val="en-US"/>
              </w:rPr>
            </w:pPr>
            <w:r>
              <w:rPr>
                <w:lang w:val="en-US"/>
              </w:rPr>
              <w:t>-</w:t>
            </w:r>
          </w:p>
        </w:tc>
        <w:tc>
          <w:tcPr>
            <w:tcW w:w="1984" w:type="dxa"/>
            <w:tcBorders>
              <w:top w:val="nil"/>
              <w:left w:val="single" w:sz="4" w:space="0" w:color="auto"/>
              <w:bottom w:val="single" w:sz="8" w:space="0" w:color="auto"/>
              <w:right w:val="single" w:sz="8" w:space="0" w:color="auto"/>
            </w:tcBorders>
            <w:shd w:val="clear" w:color="auto" w:fill="auto"/>
            <w:noWrap/>
            <w:vAlign w:val="center"/>
          </w:tcPr>
          <w:p w14:paraId="2C61021E" w14:textId="479A7AED" w:rsidR="00FB2C6D" w:rsidRPr="0026340F" w:rsidRDefault="00FB2C6D" w:rsidP="00FB2C6D">
            <w:pPr>
              <w:spacing w:line="247" w:lineRule="auto"/>
              <w:jc w:val="center"/>
              <w:outlineLvl w:val="1"/>
            </w:pPr>
            <w:r>
              <w:t>Менее 50</w:t>
            </w:r>
          </w:p>
        </w:tc>
        <w:tc>
          <w:tcPr>
            <w:tcW w:w="992" w:type="dxa"/>
            <w:tcBorders>
              <w:top w:val="nil"/>
              <w:left w:val="nil"/>
              <w:bottom w:val="single" w:sz="8" w:space="0" w:color="auto"/>
              <w:right w:val="single" w:sz="4" w:space="0" w:color="auto"/>
            </w:tcBorders>
          </w:tcPr>
          <w:p w14:paraId="209B01CE" w14:textId="6996A33C" w:rsidR="00FB2C6D" w:rsidRPr="00FB2C6D" w:rsidRDefault="00FB2C6D" w:rsidP="00FB2C6D">
            <w:pPr>
              <w:spacing w:line="247" w:lineRule="auto"/>
              <w:jc w:val="center"/>
              <w:outlineLvl w:val="1"/>
              <w:rPr>
                <w:lang w:val="en-US"/>
              </w:rPr>
            </w:pPr>
            <w:r>
              <w:rPr>
                <w:lang w:val="en-US"/>
              </w:rPr>
              <w:t>-</w:t>
            </w:r>
          </w:p>
        </w:tc>
        <w:tc>
          <w:tcPr>
            <w:tcW w:w="1985" w:type="dxa"/>
            <w:tcBorders>
              <w:top w:val="nil"/>
              <w:left w:val="single" w:sz="4" w:space="0" w:color="auto"/>
              <w:bottom w:val="single" w:sz="8" w:space="0" w:color="auto"/>
              <w:right w:val="single" w:sz="8" w:space="0" w:color="auto"/>
            </w:tcBorders>
            <w:shd w:val="clear" w:color="auto" w:fill="auto"/>
            <w:vAlign w:val="center"/>
          </w:tcPr>
          <w:p w14:paraId="75A10B8F" w14:textId="2728FE94" w:rsidR="00FB2C6D" w:rsidRPr="0026340F" w:rsidRDefault="00FB2C6D" w:rsidP="00FB2C6D">
            <w:pPr>
              <w:spacing w:line="247" w:lineRule="auto"/>
              <w:jc w:val="center"/>
              <w:outlineLvl w:val="1"/>
            </w:pPr>
            <w:r>
              <w:t>Менее 50</w:t>
            </w:r>
          </w:p>
        </w:tc>
      </w:tr>
      <w:tr w:rsidR="00FB2C6D" w:rsidRPr="00766DD9" w14:paraId="747969E2" w14:textId="77777777" w:rsidTr="00B6406A">
        <w:trPr>
          <w:trHeight w:val="330"/>
        </w:trPr>
        <w:tc>
          <w:tcPr>
            <w:tcW w:w="3402" w:type="dxa"/>
            <w:tcBorders>
              <w:top w:val="nil"/>
              <w:left w:val="single" w:sz="8" w:space="0" w:color="auto"/>
              <w:bottom w:val="single" w:sz="8" w:space="0" w:color="auto"/>
              <w:right w:val="single" w:sz="4" w:space="0" w:color="auto"/>
            </w:tcBorders>
            <w:shd w:val="clear" w:color="auto" w:fill="auto"/>
            <w:noWrap/>
          </w:tcPr>
          <w:p w14:paraId="0440738C" w14:textId="77777777" w:rsidR="00FB2C6D" w:rsidRPr="0026340F" w:rsidRDefault="00FB2C6D" w:rsidP="00FB2C6D">
            <w:pPr>
              <w:jc w:val="center"/>
              <w:textAlignment w:val="baseline"/>
            </w:pPr>
            <w:r w:rsidRPr="0026340F">
              <w:t>ООО «Даймонд групп»</w:t>
            </w:r>
          </w:p>
        </w:tc>
        <w:tc>
          <w:tcPr>
            <w:tcW w:w="1134" w:type="dxa"/>
            <w:tcBorders>
              <w:top w:val="nil"/>
              <w:left w:val="single" w:sz="4" w:space="0" w:color="auto"/>
              <w:bottom w:val="single" w:sz="8" w:space="0" w:color="auto"/>
              <w:right w:val="single" w:sz="4" w:space="0" w:color="auto"/>
            </w:tcBorders>
          </w:tcPr>
          <w:p w14:paraId="379D647A" w14:textId="41728807" w:rsidR="00FB2C6D" w:rsidRPr="00FB2C6D" w:rsidRDefault="00FB2C6D" w:rsidP="00FB2C6D">
            <w:pPr>
              <w:spacing w:line="247" w:lineRule="auto"/>
              <w:jc w:val="center"/>
              <w:outlineLvl w:val="1"/>
              <w:rPr>
                <w:lang w:val="en-US"/>
              </w:rPr>
            </w:pPr>
            <w:r>
              <w:rPr>
                <w:lang w:val="en-US"/>
              </w:rPr>
              <w:t>-</w:t>
            </w:r>
          </w:p>
        </w:tc>
        <w:tc>
          <w:tcPr>
            <w:tcW w:w="1984" w:type="dxa"/>
            <w:tcBorders>
              <w:top w:val="nil"/>
              <w:left w:val="single" w:sz="4" w:space="0" w:color="auto"/>
              <w:bottom w:val="single" w:sz="8" w:space="0" w:color="auto"/>
              <w:right w:val="single" w:sz="8" w:space="0" w:color="auto"/>
            </w:tcBorders>
            <w:shd w:val="clear" w:color="auto" w:fill="auto"/>
            <w:noWrap/>
            <w:vAlign w:val="center"/>
          </w:tcPr>
          <w:p w14:paraId="2C247304" w14:textId="324010EF" w:rsidR="00FB2C6D" w:rsidRPr="0026340F" w:rsidRDefault="00FB2C6D" w:rsidP="00FB2C6D">
            <w:pPr>
              <w:spacing w:line="247" w:lineRule="auto"/>
              <w:jc w:val="center"/>
              <w:outlineLvl w:val="1"/>
            </w:pPr>
            <w:r>
              <w:t>Менее 50</w:t>
            </w:r>
          </w:p>
        </w:tc>
        <w:tc>
          <w:tcPr>
            <w:tcW w:w="992" w:type="dxa"/>
            <w:tcBorders>
              <w:top w:val="nil"/>
              <w:left w:val="nil"/>
              <w:bottom w:val="single" w:sz="8" w:space="0" w:color="auto"/>
              <w:right w:val="single" w:sz="4" w:space="0" w:color="auto"/>
            </w:tcBorders>
          </w:tcPr>
          <w:p w14:paraId="0D5D1A00" w14:textId="59058526" w:rsidR="00FB2C6D" w:rsidRPr="00FB2C6D" w:rsidRDefault="00FB2C6D" w:rsidP="00FB2C6D">
            <w:pPr>
              <w:spacing w:line="247" w:lineRule="auto"/>
              <w:jc w:val="center"/>
              <w:outlineLvl w:val="1"/>
              <w:rPr>
                <w:lang w:val="en-US"/>
              </w:rPr>
            </w:pPr>
            <w:r>
              <w:rPr>
                <w:lang w:val="en-US"/>
              </w:rPr>
              <w:t>-</w:t>
            </w:r>
          </w:p>
        </w:tc>
        <w:tc>
          <w:tcPr>
            <w:tcW w:w="1985" w:type="dxa"/>
            <w:tcBorders>
              <w:top w:val="nil"/>
              <w:left w:val="single" w:sz="4" w:space="0" w:color="auto"/>
              <w:bottom w:val="single" w:sz="8" w:space="0" w:color="auto"/>
              <w:right w:val="single" w:sz="8" w:space="0" w:color="auto"/>
            </w:tcBorders>
            <w:shd w:val="clear" w:color="auto" w:fill="auto"/>
            <w:vAlign w:val="center"/>
          </w:tcPr>
          <w:p w14:paraId="47BB38A8" w14:textId="5EEC5088" w:rsidR="00FB2C6D" w:rsidRPr="0026340F" w:rsidRDefault="00FB2C6D" w:rsidP="00FB2C6D">
            <w:pPr>
              <w:spacing w:line="247" w:lineRule="auto"/>
              <w:jc w:val="center"/>
              <w:outlineLvl w:val="1"/>
            </w:pPr>
            <w:r>
              <w:t>Менее 50</w:t>
            </w:r>
          </w:p>
        </w:tc>
      </w:tr>
      <w:tr w:rsidR="00FB2C6D" w:rsidRPr="00766DD9" w14:paraId="5D74FA60" w14:textId="77777777" w:rsidTr="00B6406A">
        <w:trPr>
          <w:trHeight w:val="330"/>
        </w:trPr>
        <w:tc>
          <w:tcPr>
            <w:tcW w:w="3402" w:type="dxa"/>
            <w:tcBorders>
              <w:top w:val="nil"/>
              <w:left w:val="single" w:sz="8" w:space="0" w:color="auto"/>
              <w:bottom w:val="single" w:sz="8" w:space="0" w:color="auto"/>
              <w:right w:val="single" w:sz="4" w:space="0" w:color="auto"/>
            </w:tcBorders>
            <w:shd w:val="clear" w:color="auto" w:fill="auto"/>
            <w:noWrap/>
          </w:tcPr>
          <w:p w14:paraId="70DFEFAC" w14:textId="77777777" w:rsidR="00FB2C6D" w:rsidRPr="0026340F" w:rsidRDefault="00FB2C6D" w:rsidP="00FB2C6D">
            <w:pPr>
              <w:jc w:val="center"/>
              <w:textAlignment w:val="baseline"/>
            </w:pPr>
            <w:r w:rsidRPr="0026340F">
              <w:t>Группа «Роквул»</w:t>
            </w:r>
          </w:p>
        </w:tc>
        <w:tc>
          <w:tcPr>
            <w:tcW w:w="1134" w:type="dxa"/>
            <w:tcBorders>
              <w:top w:val="nil"/>
              <w:left w:val="single" w:sz="4" w:space="0" w:color="auto"/>
              <w:bottom w:val="single" w:sz="8" w:space="0" w:color="auto"/>
              <w:right w:val="single" w:sz="4" w:space="0" w:color="auto"/>
            </w:tcBorders>
          </w:tcPr>
          <w:p w14:paraId="59FA7AF7" w14:textId="672B2815" w:rsidR="00FB2C6D" w:rsidRPr="00FB2C6D" w:rsidRDefault="00FB2C6D" w:rsidP="00FB2C6D">
            <w:pPr>
              <w:spacing w:line="247" w:lineRule="auto"/>
              <w:jc w:val="center"/>
              <w:outlineLvl w:val="1"/>
              <w:rPr>
                <w:lang w:val="en-US"/>
              </w:rPr>
            </w:pPr>
            <w:r>
              <w:rPr>
                <w:lang w:val="en-US"/>
              </w:rPr>
              <w:t>-</w:t>
            </w:r>
          </w:p>
        </w:tc>
        <w:tc>
          <w:tcPr>
            <w:tcW w:w="1984" w:type="dxa"/>
            <w:tcBorders>
              <w:top w:val="nil"/>
              <w:left w:val="single" w:sz="4" w:space="0" w:color="auto"/>
              <w:bottom w:val="single" w:sz="8" w:space="0" w:color="auto"/>
              <w:right w:val="single" w:sz="8" w:space="0" w:color="auto"/>
            </w:tcBorders>
            <w:shd w:val="clear" w:color="auto" w:fill="auto"/>
            <w:noWrap/>
            <w:vAlign w:val="center"/>
          </w:tcPr>
          <w:p w14:paraId="794C3BB4" w14:textId="379AAB4F" w:rsidR="00FB2C6D" w:rsidRPr="0026340F" w:rsidRDefault="00FB2C6D" w:rsidP="00FB2C6D">
            <w:pPr>
              <w:spacing w:line="247" w:lineRule="auto"/>
              <w:jc w:val="center"/>
              <w:outlineLvl w:val="1"/>
            </w:pPr>
            <w:r>
              <w:t>Менее 50</w:t>
            </w:r>
          </w:p>
        </w:tc>
        <w:tc>
          <w:tcPr>
            <w:tcW w:w="992" w:type="dxa"/>
            <w:tcBorders>
              <w:top w:val="nil"/>
              <w:left w:val="nil"/>
              <w:bottom w:val="single" w:sz="8" w:space="0" w:color="auto"/>
              <w:right w:val="single" w:sz="4" w:space="0" w:color="auto"/>
            </w:tcBorders>
          </w:tcPr>
          <w:p w14:paraId="7C9B70C2" w14:textId="21E753BB" w:rsidR="00FB2C6D" w:rsidRPr="00FB2C6D" w:rsidRDefault="00FB2C6D" w:rsidP="00FB2C6D">
            <w:pPr>
              <w:spacing w:line="247" w:lineRule="auto"/>
              <w:jc w:val="center"/>
              <w:outlineLvl w:val="1"/>
              <w:rPr>
                <w:lang w:val="en-US"/>
              </w:rPr>
            </w:pPr>
            <w:r>
              <w:rPr>
                <w:lang w:val="en-US"/>
              </w:rPr>
              <w:t>-</w:t>
            </w:r>
          </w:p>
        </w:tc>
        <w:tc>
          <w:tcPr>
            <w:tcW w:w="1985" w:type="dxa"/>
            <w:tcBorders>
              <w:top w:val="nil"/>
              <w:left w:val="single" w:sz="4" w:space="0" w:color="auto"/>
              <w:bottom w:val="single" w:sz="8" w:space="0" w:color="auto"/>
              <w:right w:val="single" w:sz="8" w:space="0" w:color="auto"/>
            </w:tcBorders>
            <w:shd w:val="clear" w:color="auto" w:fill="auto"/>
            <w:vAlign w:val="center"/>
          </w:tcPr>
          <w:p w14:paraId="7241B2CB" w14:textId="2F2339EF" w:rsidR="00FB2C6D" w:rsidRPr="0026340F" w:rsidRDefault="00FB2C6D" w:rsidP="00FB2C6D">
            <w:pPr>
              <w:spacing w:line="247" w:lineRule="auto"/>
              <w:jc w:val="center"/>
              <w:outlineLvl w:val="1"/>
            </w:pPr>
            <w:r>
              <w:t>Менее 50</w:t>
            </w:r>
          </w:p>
        </w:tc>
      </w:tr>
      <w:tr w:rsidR="00FB2C6D" w:rsidRPr="00766DD9" w14:paraId="5A814772" w14:textId="77777777" w:rsidTr="00B6406A">
        <w:trPr>
          <w:trHeight w:val="330"/>
        </w:trPr>
        <w:tc>
          <w:tcPr>
            <w:tcW w:w="3402" w:type="dxa"/>
            <w:tcBorders>
              <w:top w:val="nil"/>
              <w:left w:val="single" w:sz="8" w:space="0" w:color="auto"/>
              <w:bottom w:val="single" w:sz="8" w:space="0" w:color="auto"/>
              <w:right w:val="single" w:sz="4" w:space="0" w:color="auto"/>
            </w:tcBorders>
            <w:shd w:val="clear" w:color="auto" w:fill="auto"/>
            <w:noWrap/>
          </w:tcPr>
          <w:p w14:paraId="6BB60C9D" w14:textId="77777777" w:rsidR="00FB2C6D" w:rsidRPr="0026340F" w:rsidRDefault="00FB2C6D" w:rsidP="00FB2C6D">
            <w:pPr>
              <w:jc w:val="center"/>
              <w:textAlignment w:val="baseline"/>
            </w:pPr>
            <w:r w:rsidRPr="0026340F">
              <w:t>ООО «Фирма Бард»</w:t>
            </w:r>
          </w:p>
        </w:tc>
        <w:tc>
          <w:tcPr>
            <w:tcW w:w="1134" w:type="dxa"/>
            <w:tcBorders>
              <w:top w:val="nil"/>
              <w:left w:val="single" w:sz="4" w:space="0" w:color="auto"/>
              <w:bottom w:val="single" w:sz="8" w:space="0" w:color="auto"/>
              <w:right w:val="single" w:sz="4" w:space="0" w:color="auto"/>
            </w:tcBorders>
          </w:tcPr>
          <w:p w14:paraId="420ED7C6" w14:textId="0AAD9928" w:rsidR="00FB2C6D" w:rsidRPr="00FB2C6D" w:rsidRDefault="00FB2C6D" w:rsidP="00FB2C6D">
            <w:pPr>
              <w:spacing w:line="247" w:lineRule="auto"/>
              <w:jc w:val="center"/>
              <w:outlineLvl w:val="1"/>
              <w:rPr>
                <w:lang w:val="en-US"/>
              </w:rPr>
            </w:pPr>
            <w:r>
              <w:rPr>
                <w:lang w:val="en-US"/>
              </w:rPr>
              <w:t>-</w:t>
            </w:r>
          </w:p>
        </w:tc>
        <w:tc>
          <w:tcPr>
            <w:tcW w:w="1984" w:type="dxa"/>
            <w:tcBorders>
              <w:top w:val="nil"/>
              <w:left w:val="single" w:sz="4" w:space="0" w:color="auto"/>
              <w:bottom w:val="single" w:sz="8" w:space="0" w:color="auto"/>
              <w:right w:val="single" w:sz="8" w:space="0" w:color="auto"/>
            </w:tcBorders>
            <w:shd w:val="clear" w:color="auto" w:fill="auto"/>
            <w:noWrap/>
            <w:vAlign w:val="center"/>
          </w:tcPr>
          <w:p w14:paraId="4E78A0C5" w14:textId="7C0483EA" w:rsidR="00FB2C6D" w:rsidRPr="0026340F" w:rsidRDefault="00FB2C6D" w:rsidP="00FB2C6D">
            <w:pPr>
              <w:spacing w:line="247" w:lineRule="auto"/>
              <w:jc w:val="center"/>
              <w:outlineLvl w:val="1"/>
            </w:pPr>
            <w:r>
              <w:t>Менее 50</w:t>
            </w:r>
          </w:p>
        </w:tc>
        <w:tc>
          <w:tcPr>
            <w:tcW w:w="992" w:type="dxa"/>
            <w:tcBorders>
              <w:top w:val="nil"/>
              <w:left w:val="nil"/>
              <w:bottom w:val="single" w:sz="8" w:space="0" w:color="auto"/>
              <w:right w:val="single" w:sz="4" w:space="0" w:color="auto"/>
            </w:tcBorders>
          </w:tcPr>
          <w:p w14:paraId="04BC773E" w14:textId="12A9A193" w:rsidR="00FB2C6D" w:rsidRPr="00FB2C6D" w:rsidRDefault="00FB2C6D" w:rsidP="00FB2C6D">
            <w:pPr>
              <w:spacing w:line="247" w:lineRule="auto"/>
              <w:jc w:val="center"/>
              <w:outlineLvl w:val="1"/>
              <w:rPr>
                <w:lang w:val="en-US"/>
              </w:rPr>
            </w:pPr>
            <w:r>
              <w:rPr>
                <w:lang w:val="en-US"/>
              </w:rPr>
              <w:t>-</w:t>
            </w:r>
          </w:p>
        </w:tc>
        <w:tc>
          <w:tcPr>
            <w:tcW w:w="1985" w:type="dxa"/>
            <w:tcBorders>
              <w:top w:val="nil"/>
              <w:left w:val="single" w:sz="4" w:space="0" w:color="auto"/>
              <w:bottom w:val="single" w:sz="8" w:space="0" w:color="auto"/>
              <w:right w:val="single" w:sz="8" w:space="0" w:color="auto"/>
            </w:tcBorders>
            <w:shd w:val="clear" w:color="auto" w:fill="auto"/>
            <w:vAlign w:val="center"/>
          </w:tcPr>
          <w:p w14:paraId="4D37388D" w14:textId="7A53DC3C" w:rsidR="00FB2C6D" w:rsidRPr="0026340F" w:rsidRDefault="00FB2C6D" w:rsidP="00FB2C6D">
            <w:pPr>
              <w:spacing w:line="247" w:lineRule="auto"/>
              <w:jc w:val="center"/>
              <w:outlineLvl w:val="1"/>
            </w:pPr>
            <w:r>
              <w:t>Менее 50</w:t>
            </w:r>
          </w:p>
        </w:tc>
      </w:tr>
      <w:tr w:rsidR="00FB2C6D" w:rsidRPr="00766DD9" w14:paraId="77B0CCF0" w14:textId="77777777" w:rsidTr="00B6406A">
        <w:trPr>
          <w:trHeight w:val="330"/>
        </w:trPr>
        <w:tc>
          <w:tcPr>
            <w:tcW w:w="3402" w:type="dxa"/>
            <w:tcBorders>
              <w:top w:val="nil"/>
              <w:left w:val="single" w:sz="8" w:space="0" w:color="auto"/>
              <w:bottom w:val="single" w:sz="8" w:space="0" w:color="auto"/>
              <w:right w:val="single" w:sz="4" w:space="0" w:color="auto"/>
            </w:tcBorders>
            <w:shd w:val="clear" w:color="auto" w:fill="auto"/>
            <w:noWrap/>
          </w:tcPr>
          <w:p w14:paraId="2C9ED288" w14:textId="77777777" w:rsidR="00FB2C6D" w:rsidRPr="0026340F" w:rsidRDefault="00FB2C6D" w:rsidP="00FB2C6D">
            <w:pPr>
              <w:jc w:val="center"/>
              <w:textAlignment w:val="baseline"/>
            </w:pPr>
            <w:r w:rsidRPr="0026340F">
              <w:t>ПО «Металлист»</w:t>
            </w:r>
          </w:p>
        </w:tc>
        <w:tc>
          <w:tcPr>
            <w:tcW w:w="1134" w:type="dxa"/>
            <w:tcBorders>
              <w:top w:val="nil"/>
              <w:left w:val="single" w:sz="4" w:space="0" w:color="auto"/>
              <w:bottom w:val="single" w:sz="8" w:space="0" w:color="auto"/>
              <w:right w:val="single" w:sz="4" w:space="0" w:color="auto"/>
            </w:tcBorders>
          </w:tcPr>
          <w:p w14:paraId="63FF7762" w14:textId="6DCD43A2" w:rsidR="00FB2C6D" w:rsidRPr="00FB2C6D" w:rsidRDefault="00FB2C6D" w:rsidP="00FB2C6D">
            <w:pPr>
              <w:spacing w:line="247" w:lineRule="auto"/>
              <w:jc w:val="center"/>
              <w:outlineLvl w:val="1"/>
              <w:rPr>
                <w:lang w:val="en-US"/>
              </w:rPr>
            </w:pPr>
            <w:r>
              <w:rPr>
                <w:lang w:val="en-US"/>
              </w:rPr>
              <w:t>-</w:t>
            </w:r>
          </w:p>
        </w:tc>
        <w:tc>
          <w:tcPr>
            <w:tcW w:w="1984" w:type="dxa"/>
            <w:tcBorders>
              <w:top w:val="nil"/>
              <w:left w:val="single" w:sz="4" w:space="0" w:color="auto"/>
              <w:bottom w:val="single" w:sz="8" w:space="0" w:color="auto"/>
              <w:right w:val="single" w:sz="8" w:space="0" w:color="auto"/>
            </w:tcBorders>
            <w:shd w:val="clear" w:color="auto" w:fill="auto"/>
            <w:noWrap/>
            <w:vAlign w:val="center"/>
          </w:tcPr>
          <w:p w14:paraId="5A93CB7C" w14:textId="688E491D" w:rsidR="00FB2C6D" w:rsidRPr="0026340F" w:rsidRDefault="00FB2C6D" w:rsidP="00FB2C6D">
            <w:pPr>
              <w:spacing w:line="247" w:lineRule="auto"/>
              <w:jc w:val="center"/>
              <w:outlineLvl w:val="1"/>
            </w:pPr>
            <w:r>
              <w:t>Менее 50</w:t>
            </w:r>
          </w:p>
        </w:tc>
        <w:tc>
          <w:tcPr>
            <w:tcW w:w="992" w:type="dxa"/>
            <w:tcBorders>
              <w:top w:val="nil"/>
              <w:left w:val="nil"/>
              <w:bottom w:val="single" w:sz="8" w:space="0" w:color="auto"/>
              <w:right w:val="single" w:sz="4" w:space="0" w:color="auto"/>
            </w:tcBorders>
          </w:tcPr>
          <w:p w14:paraId="72F22890" w14:textId="364FCF4D" w:rsidR="00FB2C6D" w:rsidRPr="00FB2C6D" w:rsidRDefault="00FB2C6D" w:rsidP="00FB2C6D">
            <w:pPr>
              <w:spacing w:line="247" w:lineRule="auto"/>
              <w:jc w:val="center"/>
              <w:outlineLvl w:val="1"/>
              <w:rPr>
                <w:lang w:val="en-US"/>
              </w:rPr>
            </w:pPr>
            <w:r>
              <w:rPr>
                <w:lang w:val="en-US"/>
              </w:rPr>
              <w:t>-</w:t>
            </w:r>
          </w:p>
        </w:tc>
        <w:tc>
          <w:tcPr>
            <w:tcW w:w="1985" w:type="dxa"/>
            <w:tcBorders>
              <w:top w:val="nil"/>
              <w:left w:val="single" w:sz="4" w:space="0" w:color="auto"/>
              <w:bottom w:val="single" w:sz="8" w:space="0" w:color="auto"/>
              <w:right w:val="single" w:sz="8" w:space="0" w:color="auto"/>
            </w:tcBorders>
            <w:shd w:val="clear" w:color="auto" w:fill="auto"/>
            <w:vAlign w:val="center"/>
          </w:tcPr>
          <w:p w14:paraId="4F0B1851" w14:textId="1297F2AC" w:rsidR="00FB2C6D" w:rsidRPr="0026340F" w:rsidRDefault="00FB2C6D" w:rsidP="00FB2C6D">
            <w:pPr>
              <w:spacing w:line="247" w:lineRule="auto"/>
              <w:jc w:val="center"/>
              <w:outlineLvl w:val="1"/>
            </w:pPr>
            <w:r>
              <w:t>Менее 50</w:t>
            </w:r>
          </w:p>
        </w:tc>
      </w:tr>
      <w:tr w:rsidR="00FB2C6D" w:rsidRPr="00766DD9" w14:paraId="231BAF37" w14:textId="77777777" w:rsidTr="00B6406A">
        <w:trPr>
          <w:trHeight w:val="330"/>
        </w:trPr>
        <w:tc>
          <w:tcPr>
            <w:tcW w:w="3402" w:type="dxa"/>
            <w:tcBorders>
              <w:top w:val="nil"/>
              <w:left w:val="single" w:sz="8" w:space="0" w:color="auto"/>
              <w:bottom w:val="single" w:sz="8" w:space="0" w:color="auto"/>
              <w:right w:val="single" w:sz="4" w:space="0" w:color="auto"/>
            </w:tcBorders>
            <w:shd w:val="clear" w:color="auto" w:fill="auto"/>
            <w:noWrap/>
          </w:tcPr>
          <w:p w14:paraId="54B31A82" w14:textId="77777777" w:rsidR="00FB2C6D" w:rsidRPr="0026340F" w:rsidRDefault="00FB2C6D" w:rsidP="00FB2C6D">
            <w:pPr>
              <w:jc w:val="center"/>
              <w:textAlignment w:val="baseline"/>
            </w:pPr>
            <w:r w:rsidRPr="0026340F">
              <w:t>Группа «Сен-Гобен»</w:t>
            </w:r>
          </w:p>
        </w:tc>
        <w:tc>
          <w:tcPr>
            <w:tcW w:w="1134" w:type="dxa"/>
            <w:tcBorders>
              <w:top w:val="nil"/>
              <w:left w:val="single" w:sz="4" w:space="0" w:color="auto"/>
              <w:bottom w:val="single" w:sz="8" w:space="0" w:color="auto"/>
              <w:right w:val="single" w:sz="4" w:space="0" w:color="auto"/>
            </w:tcBorders>
          </w:tcPr>
          <w:p w14:paraId="760CC8DC" w14:textId="3B96A9EC" w:rsidR="00FB2C6D" w:rsidRPr="00FB2C6D" w:rsidRDefault="00FB2C6D" w:rsidP="00FB2C6D">
            <w:pPr>
              <w:spacing w:line="247" w:lineRule="auto"/>
              <w:jc w:val="center"/>
              <w:outlineLvl w:val="1"/>
              <w:rPr>
                <w:lang w:val="en-US"/>
              </w:rPr>
            </w:pPr>
            <w:r>
              <w:rPr>
                <w:lang w:val="en-US"/>
              </w:rPr>
              <w:t>-</w:t>
            </w:r>
          </w:p>
        </w:tc>
        <w:tc>
          <w:tcPr>
            <w:tcW w:w="1984" w:type="dxa"/>
            <w:tcBorders>
              <w:top w:val="nil"/>
              <w:left w:val="single" w:sz="4" w:space="0" w:color="auto"/>
              <w:bottom w:val="single" w:sz="8" w:space="0" w:color="auto"/>
              <w:right w:val="single" w:sz="8" w:space="0" w:color="auto"/>
            </w:tcBorders>
            <w:shd w:val="clear" w:color="auto" w:fill="auto"/>
            <w:noWrap/>
            <w:vAlign w:val="center"/>
          </w:tcPr>
          <w:p w14:paraId="6382A5BE" w14:textId="68ABE76D" w:rsidR="00FB2C6D" w:rsidRPr="0026340F" w:rsidRDefault="00FB2C6D" w:rsidP="00FB2C6D">
            <w:pPr>
              <w:spacing w:line="247" w:lineRule="auto"/>
              <w:jc w:val="center"/>
              <w:outlineLvl w:val="1"/>
            </w:pPr>
            <w:r>
              <w:t>Менее 50</w:t>
            </w:r>
          </w:p>
        </w:tc>
        <w:tc>
          <w:tcPr>
            <w:tcW w:w="992" w:type="dxa"/>
            <w:tcBorders>
              <w:top w:val="nil"/>
              <w:left w:val="nil"/>
              <w:bottom w:val="single" w:sz="8" w:space="0" w:color="auto"/>
              <w:right w:val="single" w:sz="4" w:space="0" w:color="auto"/>
            </w:tcBorders>
          </w:tcPr>
          <w:p w14:paraId="261D53C0" w14:textId="4EC9747A" w:rsidR="00FB2C6D" w:rsidRPr="00FB2C6D" w:rsidRDefault="00FB2C6D" w:rsidP="00FB2C6D">
            <w:pPr>
              <w:spacing w:line="247" w:lineRule="auto"/>
              <w:jc w:val="center"/>
              <w:outlineLvl w:val="1"/>
              <w:rPr>
                <w:lang w:val="en-US"/>
              </w:rPr>
            </w:pPr>
            <w:r>
              <w:rPr>
                <w:lang w:val="en-US"/>
              </w:rPr>
              <w:t>-</w:t>
            </w:r>
          </w:p>
        </w:tc>
        <w:tc>
          <w:tcPr>
            <w:tcW w:w="1985" w:type="dxa"/>
            <w:tcBorders>
              <w:top w:val="nil"/>
              <w:left w:val="single" w:sz="4" w:space="0" w:color="auto"/>
              <w:bottom w:val="single" w:sz="8" w:space="0" w:color="auto"/>
              <w:right w:val="single" w:sz="8" w:space="0" w:color="auto"/>
            </w:tcBorders>
            <w:shd w:val="clear" w:color="auto" w:fill="auto"/>
            <w:vAlign w:val="center"/>
          </w:tcPr>
          <w:p w14:paraId="4E22AB8A" w14:textId="0AAAC4FF" w:rsidR="00FB2C6D" w:rsidRPr="0026340F" w:rsidRDefault="00FB2C6D" w:rsidP="00FB2C6D">
            <w:pPr>
              <w:spacing w:line="247" w:lineRule="auto"/>
              <w:jc w:val="center"/>
              <w:outlineLvl w:val="1"/>
            </w:pPr>
            <w:r>
              <w:t>Менее 50</w:t>
            </w:r>
          </w:p>
        </w:tc>
      </w:tr>
      <w:tr w:rsidR="00FB2C6D" w:rsidRPr="00766DD9" w14:paraId="22C487D5" w14:textId="77777777" w:rsidTr="00B6406A">
        <w:trPr>
          <w:trHeight w:val="330"/>
        </w:trPr>
        <w:tc>
          <w:tcPr>
            <w:tcW w:w="3402" w:type="dxa"/>
            <w:tcBorders>
              <w:top w:val="nil"/>
              <w:left w:val="single" w:sz="8" w:space="0" w:color="auto"/>
              <w:bottom w:val="single" w:sz="8" w:space="0" w:color="auto"/>
              <w:right w:val="single" w:sz="4" w:space="0" w:color="auto"/>
            </w:tcBorders>
            <w:shd w:val="clear" w:color="auto" w:fill="auto"/>
            <w:noWrap/>
          </w:tcPr>
          <w:p w14:paraId="781DA1E6" w14:textId="77777777" w:rsidR="00FB2C6D" w:rsidRPr="0026340F" w:rsidRDefault="00FB2C6D" w:rsidP="00FB2C6D">
            <w:pPr>
              <w:jc w:val="center"/>
              <w:textAlignment w:val="baseline"/>
            </w:pPr>
            <w:r w:rsidRPr="0026340F">
              <w:t>ООО «Ю-Мет»</w:t>
            </w:r>
          </w:p>
        </w:tc>
        <w:tc>
          <w:tcPr>
            <w:tcW w:w="1134" w:type="dxa"/>
            <w:tcBorders>
              <w:top w:val="nil"/>
              <w:left w:val="single" w:sz="4" w:space="0" w:color="auto"/>
              <w:bottom w:val="single" w:sz="8" w:space="0" w:color="auto"/>
              <w:right w:val="single" w:sz="4" w:space="0" w:color="auto"/>
            </w:tcBorders>
          </w:tcPr>
          <w:p w14:paraId="23D8FB5A" w14:textId="3EF1C44C" w:rsidR="00FB2C6D" w:rsidRPr="00FB2C6D" w:rsidRDefault="00FB2C6D" w:rsidP="00FB2C6D">
            <w:pPr>
              <w:spacing w:line="247" w:lineRule="auto"/>
              <w:jc w:val="center"/>
              <w:outlineLvl w:val="1"/>
              <w:rPr>
                <w:lang w:val="en-US"/>
              </w:rPr>
            </w:pPr>
            <w:r>
              <w:rPr>
                <w:lang w:val="en-US"/>
              </w:rPr>
              <w:t>-</w:t>
            </w:r>
          </w:p>
        </w:tc>
        <w:tc>
          <w:tcPr>
            <w:tcW w:w="1984" w:type="dxa"/>
            <w:tcBorders>
              <w:top w:val="nil"/>
              <w:left w:val="single" w:sz="4" w:space="0" w:color="auto"/>
              <w:bottom w:val="single" w:sz="8" w:space="0" w:color="auto"/>
              <w:right w:val="single" w:sz="8" w:space="0" w:color="auto"/>
            </w:tcBorders>
            <w:shd w:val="clear" w:color="auto" w:fill="auto"/>
            <w:noWrap/>
            <w:vAlign w:val="center"/>
          </w:tcPr>
          <w:p w14:paraId="562F7CD7" w14:textId="6A635D17" w:rsidR="00FB2C6D" w:rsidRPr="0026340F" w:rsidRDefault="00FB2C6D" w:rsidP="00FB2C6D">
            <w:pPr>
              <w:spacing w:line="247" w:lineRule="auto"/>
              <w:jc w:val="center"/>
              <w:outlineLvl w:val="1"/>
            </w:pPr>
            <w:r>
              <w:t>Менее 50</w:t>
            </w:r>
          </w:p>
        </w:tc>
        <w:tc>
          <w:tcPr>
            <w:tcW w:w="992" w:type="dxa"/>
            <w:tcBorders>
              <w:top w:val="nil"/>
              <w:left w:val="nil"/>
              <w:bottom w:val="single" w:sz="8" w:space="0" w:color="auto"/>
              <w:right w:val="single" w:sz="4" w:space="0" w:color="auto"/>
            </w:tcBorders>
          </w:tcPr>
          <w:p w14:paraId="76D53971" w14:textId="08E7390C" w:rsidR="00FB2C6D" w:rsidRPr="00FB2C6D" w:rsidRDefault="00FB2C6D" w:rsidP="00FB2C6D">
            <w:pPr>
              <w:spacing w:line="247" w:lineRule="auto"/>
              <w:jc w:val="center"/>
              <w:outlineLvl w:val="1"/>
              <w:rPr>
                <w:lang w:val="en-US"/>
              </w:rPr>
            </w:pPr>
            <w:r>
              <w:rPr>
                <w:lang w:val="en-US"/>
              </w:rPr>
              <w:t>-</w:t>
            </w:r>
          </w:p>
        </w:tc>
        <w:tc>
          <w:tcPr>
            <w:tcW w:w="1985" w:type="dxa"/>
            <w:tcBorders>
              <w:top w:val="nil"/>
              <w:left w:val="single" w:sz="4" w:space="0" w:color="auto"/>
              <w:bottom w:val="single" w:sz="8" w:space="0" w:color="auto"/>
              <w:right w:val="single" w:sz="8" w:space="0" w:color="auto"/>
            </w:tcBorders>
            <w:shd w:val="clear" w:color="auto" w:fill="auto"/>
            <w:vAlign w:val="center"/>
          </w:tcPr>
          <w:p w14:paraId="6D098F1F" w14:textId="2224E40D" w:rsidR="00FB2C6D" w:rsidRPr="0026340F" w:rsidRDefault="00FB2C6D" w:rsidP="00FB2C6D">
            <w:pPr>
              <w:spacing w:line="247" w:lineRule="auto"/>
              <w:jc w:val="center"/>
              <w:outlineLvl w:val="1"/>
            </w:pPr>
            <w:r>
              <w:t>Менее 50</w:t>
            </w:r>
          </w:p>
        </w:tc>
      </w:tr>
      <w:tr w:rsidR="00FB2C6D" w:rsidRPr="00766DD9" w14:paraId="6326FC39" w14:textId="77777777" w:rsidTr="00B6406A">
        <w:trPr>
          <w:trHeight w:val="330"/>
        </w:trPr>
        <w:tc>
          <w:tcPr>
            <w:tcW w:w="3402" w:type="dxa"/>
            <w:tcBorders>
              <w:top w:val="nil"/>
              <w:left w:val="single" w:sz="8" w:space="0" w:color="auto"/>
              <w:bottom w:val="single" w:sz="8" w:space="0" w:color="auto"/>
              <w:right w:val="single" w:sz="4" w:space="0" w:color="auto"/>
            </w:tcBorders>
            <w:shd w:val="clear" w:color="auto" w:fill="auto"/>
            <w:noWrap/>
          </w:tcPr>
          <w:p w14:paraId="689BBBAF" w14:textId="77777777" w:rsidR="00FB2C6D" w:rsidRPr="0026340F" w:rsidRDefault="00FB2C6D" w:rsidP="00FB2C6D">
            <w:pPr>
              <w:jc w:val="center"/>
              <w:textAlignment w:val="baseline"/>
            </w:pPr>
            <w:r w:rsidRPr="0026340F">
              <w:t>ЗАО «Центрстройсвет»</w:t>
            </w:r>
          </w:p>
        </w:tc>
        <w:tc>
          <w:tcPr>
            <w:tcW w:w="1134" w:type="dxa"/>
            <w:tcBorders>
              <w:top w:val="nil"/>
              <w:left w:val="single" w:sz="4" w:space="0" w:color="auto"/>
              <w:bottom w:val="single" w:sz="8" w:space="0" w:color="auto"/>
              <w:right w:val="single" w:sz="4" w:space="0" w:color="auto"/>
            </w:tcBorders>
          </w:tcPr>
          <w:p w14:paraId="397C2974" w14:textId="337B03B0" w:rsidR="00FB2C6D" w:rsidRPr="00FB2C6D" w:rsidRDefault="00FB2C6D" w:rsidP="00FB2C6D">
            <w:pPr>
              <w:spacing w:line="247" w:lineRule="auto"/>
              <w:jc w:val="center"/>
              <w:outlineLvl w:val="1"/>
              <w:rPr>
                <w:lang w:val="en-US"/>
              </w:rPr>
            </w:pPr>
            <w:r>
              <w:rPr>
                <w:lang w:val="en-US"/>
              </w:rPr>
              <w:t>-</w:t>
            </w:r>
          </w:p>
        </w:tc>
        <w:tc>
          <w:tcPr>
            <w:tcW w:w="1984" w:type="dxa"/>
            <w:tcBorders>
              <w:top w:val="nil"/>
              <w:left w:val="single" w:sz="4" w:space="0" w:color="auto"/>
              <w:bottom w:val="single" w:sz="8" w:space="0" w:color="auto"/>
              <w:right w:val="single" w:sz="8" w:space="0" w:color="auto"/>
            </w:tcBorders>
            <w:shd w:val="clear" w:color="auto" w:fill="auto"/>
            <w:noWrap/>
            <w:vAlign w:val="center"/>
          </w:tcPr>
          <w:p w14:paraId="6B4F0ACC" w14:textId="6D47D4DC" w:rsidR="00FB2C6D" w:rsidRPr="0026340F" w:rsidRDefault="00FB2C6D" w:rsidP="00FB2C6D">
            <w:pPr>
              <w:spacing w:line="247" w:lineRule="auto"/>
              <w:jc w:val="center"/>
              <w:outlineLvl w:val="1"/>
            </w:pPr>
            <w:r>
              <w:t>Менее 50</w:t>
            </w:r>
          </w:p>
        </w:tc>
        <w:tc>
          <w:tcPr>
            <w:tcW w:w="992" w:type="dxa"/>
            <w:tcBorders>
              <w:top w:val="nil"/>
              <w:left w:val="nil"/>
              <w:bottom w:val="single" w:sz="8" w:space="0" w:color="auto"/>
              <w:right w:val="single" w:sz="4" w:space="0" w:color="auto"/>
            </w:tcBorders>
          </w:tcPr>
          <w:p w14:paraId="525E3523" w14:textId="68E8DB43" w:rsidR="00FB2C6D" w:rsidRPr="00FB2C6D" w:rsidRDefault="00FB2C6D" w:rsidP="00FB2C6D">
            <w:pPr>
              <w:spacing w:line="247" w:lineRule="auto"/>
              <w:jc w:val="center"/>
              <w:outlineLvl w:val="1"/>
              <w:rPr>
                <w:lang w:val="en-US"/>
              </w:rPr>
            </w:pPr>
            <w:r>
              <w:rPr>
                <w:lang w:val="en-US"/>
              </w:rPr>
              <w:t>-</w:t>
            </w:r>
          </w:p>
        </w:tc>
        <w:tc>
          <w:tcPr>
            <w:tcW w:w="1985" w:type="dxa"/>
            <w:tcBorders>
              <w:top w:val="nil"/>
              <w:left w:val="single" w:sz="4" w:space="0" w:color="auto"/>
              <w:bottom w:val="single" w:sz="8" w:space="0" w:color="auto"/>
              <w:right w:val="single" w:sz="8" w:space="0" w:color="auto"/>
            </w:tcBorders>
            <w:shd w:val="clear" w:color="auto" w:fill="auto"/>
            <w:vAlign w:val="center"/>
          </w:tcPr>
          <w:p w14:paraId="03295177" w14:textId="5BCD57E5" w:rsidR="00FB2C6D" w:rsidRPr="0026340F" w:rsidRDefault="00FB2C6D" w:rsidP="00FB2C6D">
            <w:pPr>
              <w:spacing w:line="247" w:lineRule="auto"/>
              <w:jc w:val="center"/>
              <w:outlineLvl w:val="1"/>
            </w:pPr>
            <w:r>
              <w:t>Менее 50</w:t>
            </w:r>
          </w:p>
        </w:tc>
      </w:tr>
      <w:tr w:rsidR="00FB2C6D" w:rsidRPr="00766DD9" w14:paraId="2C3CAAA4" w14:textId="77777777" w:rsidTr="00B6406A">
        <w:trPr>
          <w:trHeight w:val="330"/>
        </w:trPr>
        <w:tc>
          <w:tcPr>
            <w:tcW w:w="3402" w:type="dxa"/>
            <w:tcBorders>
              <w:top w:val="nil"/>
              <w:left w:val="single" w:sz="8" w:space="0" w:color="auto"/>
              <w:bottom w:val="single" w:sz="8" w:space="0" w:color="auto"/>
              <w:right w:val="single" w:sz="4" w:space="0" w:color="auto"/>
            </w:tcBorders>
            <w:shd w:val="clear" w:color="auto" w:fill="auto"/>
            <w:noWrap/>
          </w:tcPr>
          <w:p w14:paraId="69A7072D" w14:textId="77777777" w:rsidR="00FB2C6D" w:rsidRPr="0026340F" w:rsidRDefault="00FB2C6D" w:rsidP="00FB2C6D">
            <w:pPr>
              <w:jc w:val="center"/>
              <w:textAlignment w:val="baseline"/>
            </w:pPr>
            <w:r w:rsidRPr="0026340F">
              <w:t>ООО «Праймет М»</w:t>
            </w:r>
          </w:p>
        </w:tc>
        <w:tc>
          <w:tcPr>
            <w:tcW w:w="1134" w:type="dxa"/>
            <w:tcBorders>
              <w:top w:val="nil"/>
              <w:left w:val="single" w:sz="4" w:space="0" w:color="auto"/>
              <w:bottom w:val="single" w:sz="8" w:space="0" w:color="auto"/>
              <w:right w:val="single" w:sz="4" w:space="0" w:color="auto"/>
            </w:tcBorders>
          </w:tcPr>
          <w:p w14:paraId="47CB2C7A" w14:textId="77777777" w:rsidR="00FB2C6D" w:rsidRPr="0026340F" w:rsidRDefault="00FB2C6D" w:rsidP="00FB2C6D">
            <w:pPr>
              <w:spacing w:line="247" w:lineRule="auto"/>
              <w:jc w:val="center"/>
              <w:outlineLvl w:val="1"/>
            </w:pPr>
            <w:bookmarkStart w:id="13" w:name="_Toc522004005"/>
            <w:r w:rsidRPr="0026340F">
              <w:t>-</w:t>
            </w:r>
            <w:bookmarkEnd w:id="13"/>
          </w:p>
        </w:tc>
        <w:tc>
          <w:tcPr>
            <w:tcW w:w="1984" w:type="dxa"/>
            <w:tcBorders>
              <w:top w:val="nil"/>
              <w:left w:val="single" w:sz="4" w:space="0" w:color="auto"/>
              <w:bottom w:val="single" w:sz="8" w:space="0" w:color="auto"/>
              <w:right w:val="single" w:sz="8" w:space="0" w:color="auto"/>
            </w:tcBorders>
            <w:shd w:val="clear" w:color="auto" w:fill="auto"/>
            <w:noWrap/>
            <w:vAlign w:val="center"/>
          </w:tcPr>
          <w:p w14:paraId="58762A12" w14:textId="41DFA1AA" w:rsidR="00FB2C6D" w:rsidRPr="0026340F" w:rsidRDefault="00FB2C6D" w:rsidP="00FB2C6D">
            <w:pPr>
              <w:spacing w:line="247" w:lineRule="auto"/>
              <w:jc w:val="center"/>
              <w:outlineLvl w:val="1"/>
            </w:pPr>
            <w:r>
              <w:t>Менее 50</w:t>
            </w:r>
          </w:p>
        </w:tc>
        <w:tc>
          <w:tcPr>
            <w:tcW w:w="992" w:type="dxa"/>
            <w:tcBorders>
              <w:top w:val="nil"/>
              <w:left w:val="nil"/>
              <w:bottom w:val="single" w:sz="8" w:space="0" w:color="auto"/>
              <w:right w:val="single" w:sz="4" w:space="0" w:color="auto"/>
            </w:tcBorders>
          </w:tcPr>
          <w:p w14:paraId="4838E801" w14:textId="31773E2A" w:rsidR="00FB2C6D" w:rsidRPr="00FB2C6D" w:rsidRDefault="00FB2C6D" w:rsidP="00FB2C6D">
            <w:pPr>
              <w:spacing w:line="247" w:lineRule="auto"/>
              <w:jc w:val="center"/>
              <w:outlineLvl w:val="1"/>
              <w:rPr>
                <w:lang w:val="en-US"/>
              </w:rPr>
            </w:pPr>
            <w:r>
              <w:rPr>
                <w:lang w:val="en-US"/>
              </w:rPr>
              <w:t>-</w:t>
            </w:r>
          </w:p>
        </w:tc>
        <w:tc>
          <w:tcPr>
            <w:tcW w:w="1985" w:type="dxa"/>
            <w:tcBorders>
              <w:top w:val="nil"/>
              <w:left w:val="single" w:sz="4" w:space="0" w:color="auto"/>
              <w:bottom w:val="single" w:sz="8" w:space="0" w:color="auto"/>
              <w:right w:val="single" w:sz="8" w:space="0" w:color="auto"/>
            </w:tcBorders>
            <w:shd w:val="clear" w:color="auto" w:fill="auto"/>
            <w:vAlign w:val="center"/>
          </w:tcPr>
          <w:p w14:paraId="4A2944AE" w14:textId="216A2E3E" w:rsidR="00FB2C6D" w:rsidRPr="0026340F" w:rsidRDefault="00FB2C6D" w:rsidP="00FB2C6D">
            <w:pPr>
              <w:spacing w:line="247" w:lineRule="auto"/>
              <w:jc w:val="center"/>
              <w:outlineLvl w:val="1"/>
            </w:pPr>
            <w:r>
              <w:t>Менее 50</w:t>
            </w:r>
          </w:p>
        </w:tc>
      </w:tr>
      <w:tr w:rsidR="00FB2C6D" w:rsidRPr="00766DD9" w14:paraId="52BA6649" w14:textId="77777777" w:rsidTr="00B6406A">
        <w:trPr>
          <w:trHeight w:val="330"/>
        </w:trPr>
        <w:tc>
          <w:tcPr>
            <w:tcW w:w="3402" w:type="dxa"/>
            <w:tcBorders>
              <w:top w:val="nil"/>
              <w:left w:val="single" w:sz="8" w:space="0" w:color="auto"/>
              <w:bottom w:val="single" w:sz="8" w:space="0" w:color="auto"/>
              <w:right w:val="single" w:sz="4" w:space="0" w:color="auto"/>
            </w:tcBorders>
            <w:shd w:val="clear" w:color="auto" w:fill="auto"/>
            <w:noWrap/>
          </w:tcPr>
          <w:p w14:paraId="2E6B30D8" w14:textId="77777777" w:rsidR="00FB2C6D" w:rsidRPr="0026340F" w:rsidRDefault="00FB2C6D" w:rsidP="00FB2C6D">
            <w:pPr>
              <w:jc w:val="center"/>
              <w:textAlignment w:val="baseline"/>
            </w:pPr>
            <w:r w:rsidRPr="0026340F">
              <w:t>ЗАО «Хантер Даглас»</w:t>
            </w:r>
          </w:p>
        </w:tc>
        <w:tc>
          <w:tcPr>
            <w:tcW w:w="1134" w:type="dxa"/>
            <w:tcBorders>
              <w:top w:val="nil"/>
              <w:left w:val="single" w:sz="4" w:space="0" w:color="auto"/>
              <w:bottom w:val="single" w:sz="8" w:space="0" w:color="auto"/>
              <w:right w:val="single" w:sz="4" w:space="0" w:color="auto"/>
            </w:tcBorders>
          </w:tcPr>
          <w:p w14:paraId="613D8B16" w14:textId="45256E88" w:rsidR="00FB2C6D" w:rsidRPr="00FB2C6D" w:rsidRDefault="00FB2C6D" w:rsidP="00FB2C6D">
            <w:pPr>
              <w:spacing w:line="247" w:lineRule="auto"/>
              <w:jc w:val="center"/>
              <w:outlineLvl w:val="1"/>
              <w:rPr>
                <w:lang w:val="en-US"/>
              </w:rPr>
            </w:pPr>
            <w:r>
              <w:rPr>
                <w:lang w:val="en-US"/>
              </w:rPr>
              <w:t>-</w:t>
            </w:r>
          </w:p>
        </w:tc>
        <w:tc>
          <w:tcPr>
            <w:tcW w:w="1984" w:type="dxa"/>
            <w:tcBorders>
              <w:top w:val="nil"/>
              <w:left w:val="single" w:sz="4" w:space="0" w:color="auto"/>
              <w:bottom w:val="single" w:sz="8" w:space="0" w:color="auto"/>
              <w:right w:val="single" w:sz="8" w:space="0" w:color="auto"/>
            </w:tcBorders>
            <w:shd w:val="clear" w:color="auto" w:fill="auto"/>
            <w:noWrap/>
            <w:vAlign w:val="center"/>
          </w:tcPr>
          <w:p w14:paraId="110DA2D0" w14:textId="18A1076C" w:rsidR="00FB2C6D" w:rsidRPr="0026340F" w:rsidRDefault="00FB2C6D" w:rsidP="00FB2C6D">
            <w:pPr>
              <w:spacing w:line="247" w:lineRule="auto"/>
              <w:jc w:val="center"/>
              <w:outlineLvl w:val="1"/>
            </w:pPr>
            <w:r>
              <w:t>Менее 50</w:t>
            </w:r>
          </w:p>
        </w:tc>
        <w:tc>
          <w:tcPr>
            <w:tcW w:w="992" w:type="dxa"/>
            <w:tcBorders>
              <w:top w:val="nil"/>
              <w:left w:val="nil"/>
              <w:bottom w:val="single" w:sz="8" w:space="0" w:color="auto"/>
              <w:right w:val="single" w:sz="4" w:space="0" w:color="auto"/>
            </w:tcBorders>
          </w:tcPr>
          <w:p w14:paraId="532BB48B" w14:textId="1C847C76" w:rsidR="00FB2C6D" w:rsidRPr="00FB2C6D" w:rsidRDefault="00FB2C6D" w:rsidP="00FB2C6D">
            <w:pPr>
              <w:spacing w:line="247" w:lineRule="auto"/>
              <w:jc w:val="center"/>
              <w:outlineLvl w:val="1"/>
              <w:rPr>
                <w:lang w:val="en-US"/>
              </w:rPr>
            </w:pPr>
            <w:r>
              <w:rPr>
                <w:lang w:val="en-US"/>
              </w:rPr>
              <w:t>-</w:t>
            </w:r>
          </w:p>
        </w:tc>
        <w:tc>
          <w:tcPr>
            <w:tcW w:w="1985" w:type="dxa"/>
            <w:tcBorders>
              <w:top w:val="nil"/>
              <w:left w:val="single" w:sz="4" w:space="0" w:color="auto"/>
              <w:bottom w:val="single" w:sz="8" w:space="0" w:color="auto"/>
              <w:right w:val="single" w:sz="8" w:space="0" w:color="auto"/>
            </w:tcBorders>
            <w:shd w:val="clear" w:color="auto" w:fill="auto"/>
            <w:vAlign w:val="center"/>
          </w:tcPr>
          <w:p w14:paraId="4EBA0E10" w14:textId="09343E11" w:rsidR="00FB2C6D" w:rsidRPr="0026340F" w:rsidRDefault="00FB2C6D" w:rsidP="00FB2C6D">
            <w:pPr>
              <w:spacing w:line="247" w:lineRule="auto"/>
              <w:jc w:val="center"/>
              <w:outlineLvl w:val="1"/>
            </w:pPr>
            <w:r>
              <w:t>Менее 50</w:t>
            </w:r>
          </w:p>
        </w:tc>
      </w:tr>
      <w:tr w:rsidR="00FB2C6D" w:rsidRPr="00766DD9" w14:paraId="755EB7D7" w14:textId="77777777" w:rsidTr="00B6406A">
        <w:trPr>
          <w:trHeight w:val="330"/>
        </w:trPr>
        <w:tc>
          <w:tcPr>
            <w:tcW w:w="3402" w:type="dxa"/>
            <w:tcBorders>
              <w:top w:val="nil"/>
              <w:left w:val="single" w:sz="8" w:space="0" w:color="auto"/>
              <w:bottom w:val="single" w:sz="8" w:space="0" w:color="auto"/>
              <w:right w:val="single" w:sz="4" w:space="0" w:color="auto"/>
            </w:tcBorders>
            <w:shd w:val="clear" w:color="auto" w:fill="auto"/>
            <w:noWrap/>
          </w:tcPr>
          <w:p w14:paraId="53F2DCA1" w14:textId="77777777" w:rsidR="00FB2C6D" w:rsidRPr="0026340F" w:rsidRDefault="00FB2C6D" w:rsidP="00FB2C6D">
            <w:pPr>
              <w:jc w:val="center"/>
              <w:textAlignment w:val="baseline"/>
            </w:pPr>
            <w:r w:rsidRPr="0026340F">
              <w:t>ООО «Химмель»</w:t>
            </w:r>
          </w:p>
        </w:tc>
        <w:tc>
          <w:tcPr>
            <w:tcW w:w="1134" w:type="dxa"/>
            <w:tcBorders>
              <w:top w:val="nil"/>
              <w:left w:val="single" w:sz="4" w:space="0" w:color="auto"/>
              <w:bottom w:val="single" w:sz="8" w:space="0" w:color="auto"/>
              <w:right w:val="single" w:sz="4" w:space="0" w:color="auto"/>
            </w:tcBorders>
          </w:tcPr>
          <w:p w14:paraId="2706EBB9" w14:textId="66417000" w:rsidR="00FB2C6D" w:rsidRPr="00FB2C6D" w:rsidRDefault="00FB2C6D" w:rsidP="00FB2C6D">
            <w:pPr>
              <w:spacing w:line="247" w:lineRule="auto"/>
              <w:jc w:val="center"/>
              <w:outlineLvl w:val="1"/>
              <w:rPr>
                <w:lang w:val="en-US"/>
              </w:rPr>
            </w:pPr>
            <w:r>
              <w:rPr>
                <w:lang w:val="en-US"/>
              </w:rPr>
              <w:t>-</w:t>
            </w:r>
          </w:p>
        </w:tc>
        <w:tc>
          <w:tcPr>
            <w:tcW w:w="1984" w:type="dxa"/>
            <w:tcBorders>
              <w:top w:val="nil"/>
              <w:left w:val="single" w:sz="4" w:space="0" w:color="auto"/>
              <w:bottom w:val="single" w:sz="8" w:space="0" w:color="auto"/>
              <w:right w:val="single" w:sz="8" w:space="0" w:color="auto"/>
            </w:tcBorders>
            <w:shd w:val="clear" w:color="auto" w:fill="auto"/>
            <w:noWrap/>
            <w:vAlign w:val="center"/>
          </w:tcPr>
          <w:p w14:paraId="4F8DECE0" w14:textId="14070FCD" w:rsidR="00FB2C6D" w:rsidRPr="0026340F" w:rsidRDefault="00FB2C6D" w:rsidP="00FB2C6D">
            <w:pPr>
              <w:spacing w:line="247" w:lineRule="auto"/>
              <w:jc w:val="center"/>
              <w:outlineLvl w:val="1"/>
            </w:pPr>
            <w:r>
              <w:t>Менее 50</w:t>
            </w:r>
          </w:p>
        </w:tc>
        <w:tc>
          <w:tcPr>
            <w:tcW w:w="992" w:type="dxa"/>
            <w:tcBorders>
              <w:top w:val="nil"/>
              <w:left w:val="nil"/>
              <w:bottom w:val="single" w:sz="8" w:space="0" w:color="auto"/>
              <w:right w:val="single" w:sz="4" w:space="0" w:color="auto"/>
            </w:tcBorders>
          </w:tcPr>
          <w:p w14:paraId="12C530F5" w14:textId="4B0A1C00" w:rsidR="00FB2C6D" w:rsidRPr="00FB2C6D" w:rsidRDefault="00FB2C6D" w:rsidP="00FB2C6D">
            <w:pPr>
              <w:spacing w:line="247" w:lineRule="auto"/>
              <w:jc w:val="center"/>
              <w:outlineLvl w:val="1"/>
              <w:rPr>
                <w:lang w:val="en-US"/>
              </w:rPr>
            </w:pPr>
            <w:r>
              <w:rPr>
                <w:lang w:val="en-US"/>
              </w:rPr>
              <w:t>-</w:t>
            </w:r>
          </w:p>
        </w:tc>
        <w:tc>
          <w:tcPr>
            <w:tcW w:w="1985" w:type="dxa"/>
            <w:tcBorders>
              <w:top w:val="nil"/>
              <w:left w:val="single" w:sz="4" w:space="0" w:color="auto"/>
              <w:bottom w:val="single" w:sz="8" w:space="0" w:color="auto"/>
              <w:right w:val="single" w:sz="8" w:space="0" w:color="auto"/>
            </w:tcBorders>
            <w:shd w:val="clear" w:color="auto" w:fill="auto"/>
            <w:vAlign w:val="center"/>
          </w:tcPr>
          <w:p w14:paraId="31F3E9D7" w14:textId="429DC627" w:rsidR="00FB2C6D" w:rsidRPr="0026340F" w:rsidRDefault="00FB2C6D" w:rsidP="00FB2C6D">
            <w:pPr>
              <w:spacing w:line="247" w:lineRule="auto"/>
              <w:jc w:val="center"/>
              <w:outlineLvl w:val="1"/>
            </w:pPr>
            <w:r>
              <w:t>Менее 50</w:t>
            </w:r>
          </w:p>
        </w:tc>
      </w:tr>
      <w:tr w:rsidR="00FB2C6D" w:rsidRPr="00766DD9" w14:paraId="4CAC3678" w14:textId="77777777" w:rsidTr="00B6406A">
        <w:trPr>
          <w:trHeight w:val="330"/>
        </w:trPr>
        <w:tc>
          <w:tcPr>
            <w:tcW w:w="3402" w:type="dxa"/>
            <w:tcBorders>
              <w:top w:val="nil"/>
              <w:left w:val="single" w:sz="8" w:space="0" w:color="auto"/>
              <w:bottom w:val="single" w:sz="8" w:space="0" w:color="auto"/>
              <w:right w:val="single" w:sz="4" w:space="0" w:color="auto"/>
            </w:tcBorders>
            <w:shd w:val="clear" w:color="auto" w:fill="auto"/>
            <w:noWrap/>
          </w:tcPr>
          <w:p w14:paraId="4DBFB209" w14:textId="77777777" w:rsidR="00FB2C6D" w:rsidRPr="0026340F" w:rsidRDefault="00FB2C6D" w:rsidP="00FB2C6D">
            <w:pPr>
              <w:jc w:val="center"/>
              <w:textAlignment w:val="baseline"/>
            </w:pPr>
            <w:r w:rsidRPr="0026340F">
              <w:t>ООО «СПК «Д-Строй»</w:t>
            </w:r>
          </w:p>
        </w:tc>
        <w:tc>
          <w:tcPr>
            <w:tcW w:w="1134" w:type="dxa"/>
            <w:tcBorders>
              <w:top w:val="nil"/>
              <w:left w:val="single" w:sz="4" w:space="0" w:color="auto"/>
              <w:bottom w:val="single" w:sz="8" w:space="0" w:color="auto"/>
              <w:right w:val="single" w:sz="4" w:space="0" w:color="auto"/>
            </w:tcBorders>
          </w:tcPr>
          <w:p w14:paraId="4E1DD1B8" w14:textId="0496DB4F" w:rsidR="00FB2C6D" w:rsidRPr="00FB2C6D" w:rsidRDefault="00FB2C6D" w:rsidP="00FB2C6D">
            <w:pPr>
              <w:spacing w:line="247" w:lineRule="auto"/>
              <w:jc w:val="center"/>
              <w:outlineLvl w:val="1"/>
              <w:rPr>
                <w:lang w:val="en-US"/>
              </w:rPr>
            </w:pPr>
            <w:r>
              <w:rPr>
                <w:lang w:val="en-US"/>
              </w:rPr>
              <w:t>-</w:t>
            </w:r>
          </w:p>
        </w:tc>
        <w:tc>
          <w:tcPr>
            <w:tcW w:w="1984" w:type="dxa"/>
            <w:tcBorders>
              <w:top w:val="nil"/>
              <w:left w:val="single" w:sz="4" w:space="0" w:color="auto"/>
              <w:bottom w:val="single" w:sz="8" w:space="0" w:color="auto"/>
              <w:right w:val="single" w:sz="8" w:space="0" w:color="auto"/>
            </w:tcBorders>
            <w:shd w:val="clear" w:color="auto" w:fill="auto"/>
            <w:noWrap/>
            <w:vAlign w:val="center"/>
          </w:tcPr>
          <w:p w14:paraId="69036080" w14:textId="1B3CEF9F" w:rsidR="00FB2C6D" w:rsidRPr="0026340F" w:rsidRDefault="00FB2C6D" w:rsidP="00FB2C6D">
            <w:pPr>
              <w:spacing w:line="247" w:lineRule="auto"/>
              <w:jc w:val="center"/>
              <w:outlineLvl w:val="1"/>
            </w:pPr>
            <w:r>
              <w:t>Менее 50</w:t>
            </w:r>
          </w:p>
        </w:tc>
        <w:tc>
          <w:tcPr>
            <w:tcW w:w="992" w:type="dxa"/>
            <w:tcBorders>
              <w:top w:val="nil"/>
              <w:left w:val="nil"/>
              <w:bottom w:val="single" w:sz="8" w:space="0" w:color="auto"/>
              <w:right w:val="single" w:sz="4" w:space="0" w:color="auto"/>
            </w:tcBorders>
          </w:tcPr>
          <w:p w14:paraId="4199F47A" w14:textId="7066BBD7" w:rsidR="00FB2C6D" w:rsidRPr="00FB2C6D" w:rsidRDefault="00FB2C6D" w:rsidP="00FB2C6D">
            <w:pPr>
              <w:spacing w:line="247" w:lineRule="auto"/>
              <w:jc w:val="center"/>
              <w:outlineLvl w:val="1"/>
              <w:rPr>
                <w:lang w:val="en-US"/>
              </w:rPr>
            </w:pPr>
            <w:r>
              <w:rPr>
                <w:lang w:val="en-US"/>
              </w:rPr>
              <w:t>-</w:t>
            </w:r>
          </w:p>
        </w:tc>
        <w:tc>
          <w:tcPr>
            <w:tcW w:w="1985" w:type="dxa"/>
            <w:tcBorders>
              <w:top w:val="nil"/>
              <w:left w:val="single" w:sz="4" w:space="0" w:color="auto"/>
              <w:bottom w:val="single" w:sz="8" w:space="0" w:color="auto"/>
              <w:right w:val="single" w:sz="8" w:space="0" w:color="auto"/>
            </w:tcBorders>
            <w:shd w:val="clear" w:color="auto" w:fill="auto"/>
            <w:vAlign w:val="center"/>
          </w:tcPr>
          <w:p w14:paraId="4A44CE54" w14:textId="6BCDBE06" w:rsidR="00FB2C6D" w:rsidRPr="0026340F" w:rsidRDefault="00FB2C6D" w:rsidP="00FB2C6D">
            <w:pPr>
              <w:spacing w:line="247" w:lineRule="auto"/>
              <w:jc w:val="center"/>
              <w:outlineLvl w:val="1"/>
            </w:pPr>
            <w:r>
              <w:t>Менее 50</w:t>
            </w:r>
          </w:p>
        </w:tc>
      </w:tr>
      <w:tr w:rsidR="00FB2C6D" w:rsidRPr="00766DD9" w14:paraId="45EA9642" w14:textId="77777777" w:rsidTr="00B6406A">
        <w:trPr>
          <w:trHeight w:val="330"/>
        </w:trPr>
        <w:tc>
          <w:tcPr>
            <w:tcW w:w="3402" w:type="dxa"/>
            <w:tcBorders>
              <w:top w:val="nil"/>
              <w:left w:val="single" w:sz="8" w:space="0" w:color="auto"/>
              <w:bottom w:val="single" w:sz="8" w:space="0" w:color="auto"/>
              <w:right w:val="single" w:sz="4" w:space="0" w:color="auto"/>
            </w:tcBorders>
            <w:shd w:val="clear" w:color="auto" w:fill="auto"/>
            <w:noWrap/>
          </w:tcPr>
          <w:p w14:paraId="05B27E27" w14:textId="77777777" w:rsidR="00FB2C6D" w:rsidRPr="0026340F" w:rsidRDefault="00FB2C6D" w:rsidP="00FB2C6D">
            <w:pPr>
              <w:jc w:val="center"/>
              <w:textAlignment w:val="baseline"/>
            </w:pPr>
            <w:r w:rsidRPr="0026340F">
              <w:t>ООО «Компания Новый мир»</w:t>
            </w:r>
          </w:p>
        </w:tc>
        <w:tc>
          <w:tcPr>
            <w:tcW w:w="1134" w:type="dxa"/>
            <w:tcBorders>
              <w:top w:val="nil"/>
              <w:left w:val="single" w:sz="4" w:space="0" w:color="auto"/>
              <w:bottom w:val="single" w:sz="8" w:space="0" w:color="auto"/>
              <w:right w:val="single" w:sz="4" w:space="0" w:color="auto"/>
            </w:tcBorders>
          </w:tcPr>
          <w:p w14:paraId="2B9E4881" w14:textId="77F3957F" w:rsidR="00FB2C6D" w:rsidRPr="00FB2C6D" w:rsidRDefault="00FB2C6D" w:rsidP="00FB2C6D">
            <w:pPr>
              <w:spacing w:line="247" w:lineRule="auto"/>
              <w:jc w:val="center"/>
              <w:outlineLvl w:val="1"/>
              <w:rPr>
                <w:lang w:val="en-US"/>
              </w:rPr>
            </w:pPr>
            <w:r>
              <w:rPr>
                <w:lang w:val="en-US"/>
              </w:rPr>
              <w:t>-</w:t>
            </w:r>
          </w:p>
        </w:tc>
        <w:tc>
          <w:tcPr>
            <w:tcW w:w="1984" w:type="dxa"/>
            <w:tcBorders>
              <w:top w:val="nil"/>
              <w:left w:val="single" w:sz="4" w:space="0" w:color="auto"/>
              <w:bottom w:val="single" w:sz="8" w:space="0" w:color="auto"/>
              <w:right w:val="single" w:sz="8" w:space="0" w:color="auto"/>
            </w:tcBorders>
            <w:shd w:val="clear" w:color="auto" w:fill="auto"/>
            <w:noWrap/>
            <w:vAlign w:val="center"/>
          </w:tcPr>
          <w:p w14:paraId="72504863" w14:textId="49A6B06C" w:rsidR="00FB2C6D" w:rsidRPr="0026340F" w:rsidRDefault="00FB2C6D" w:rsidP="00FB2C6D">
            <w:pPr>
              <w:spacing w:line="247" w:lineRule="auto"/>
              <w:jc w:val="center"/>
              <w:outlineLvl w:val="1"/>
            </w:pPr>
            <w:r>
              <w:t>Менее 50</w:t>
            </w:r>
          </w:p>
        </w:tc>
        <w:tc>
          <w:tcPr>
            <w:tcW w:w="992" w:type="dxa"/>
            <w:tcBorders>
              <w:top w:val="nil"/>
              <w:left w:val="nil"/>
              <w:bottom w:val="single" w:sz="8" w:space="0" w:color="auto"/>
              <w:right w:val="single" w:sz="4" w:space="0" w:color="auto"/>
            </w:tcBorders>
          </w:tcPr>
          <w:p w14:paraId="0CF601C4" w14:textId="5223843E" w:rsidR="00FB2C6D" w:rsidRPr="00FB2C6D" w:rsidRDefault="00FB2C6D" w:rsidP="00FB2C6D">
            <w:pPr>
              <w:spacing w:line="247" w:lineRule="auto"/>
              <w:jc w:val="center"/>
              <w:outlineLvl w:val="1"/>
              <w:rPr>
                <w:lang w:val="en-US"/>
              </w:rPr>
            </w:pPr>
            <w:r>
              <w:rPr>
                <w:lang w:val="en-US"/>
              </w:rPr>
              <w:t>-</w:t>
            </w:r>
          </w:p>
        </w:tc>
        <w:tc>
          <w:tcPr>
            <w:tcW w:w="1985" w:type="dxa"/>
            <w:tcBorders>
              <w:top w:val="nil"/>
              <w:left w:val="single" w:sz="4" w:space="0" w:color="auto"/>
              <w:bottom w:val="single" w:sz="8" w:space="0" w:color="auto"/>
              <w:right w:val="single" w:sz="8" w:space="0" w:color="auto"/>
            </w:tcBorders>
            <w:shd w:val="clear" w:color="auto" w:fill="auto"/>
            <w:vAlign w:val="center"/>
          </w:tcPr>
          <w:p w14:paraId="54AE8329" w14:textId="7E94198D" w:rsidR="00FB2C6D" w:rsidRPr="0026340F" w:rsidRDefault="00FB2C6D" w:rsidP="00FB2C6D">
            <w:pPr>
              <w:spacing w:line="247" w:lineRule="auto"/>
              <w:jc w:val="center"/>
              <w:outlineLvl w:val="1"/>
            </w:pPr>
            <w:r>
              <w:t>Менее 50</w:t>
            </w:r>
          </w:p>
        </w:tc>
      </w:tr>
      <w:tr w:rsidR="00FB2C6D" w:rsidRPr="00766DD9" w14:paraId="11A1A8C4" w14:textId="77777777" w:rsidTr="00B6406A">
        <w:trPr>
          <w:trHeight w:val="330"/>
        </w:trPr>
        <w:tc>
          <w:tcPr>
            <w:tcW w:w="3402" w:type="dxa"/>
            <w:tcBorders>
              <w:top w:val="nil"/>
              <w:left w:val="single" w:sz="8" w:space="0" w:color="auto"/>
              <w:bottom w:val="single" w:sz="8" w:space="0" w:color="auto"/>
              <w:right w:val="single" w:sz="4" w:space="0" w:color="auto"/>
            </w:tcBorders>
            <w:shd w:val="clear" w:color="auto" w:fill="auto"/>
            <w:noWrap/>
          </w:tcPr>
          <w:p w14:paraId="53933E10" w14:textId="77777777" w:rsidR="00FB2C6D" w:rsidRPr="0026340F" w:rsidRDefault="00FB2C6D" w:rsidP="00FB2C6D">
            <w:pPr>
              <w:jc w:val="center"/>
              <w:textAlignment w:val="baseline"/>
            </w:pPr>
            <w:r w:rsidRPr="0026340F">
              <w:t>ООО «Цесал»</w:t>
            </w:r>
          </w:p>
        </w:tc>
        <w:tc>
          <w:tcPr>
            <w:tcW w:w="1134" w:type="dxa"/>
            <w:tcBorders>
              <w:top w:val="nil"/>
              <w:left w:val="single" w:sz="4" w:space="0" w:color="auto"/>
              <w:bottom w:val="single" w:sz="8" w:space="0" w:color="auto"/>
              <w:right w:val="single" w:sz="4" w:space="0" w:color="auto"/>
            </w:tcBorders>
          </w:tcPr>
          <w:p w14:paraId="52C0CEB8" w14:textId="65BD79E2" w:rsidR="00FB2C6D" w:rsidRPr="00FB2C6D" w:rsidRDefault="00FB2C6D" w:rsidP="00FB2C6D">
            <w:pPr>
              <w:spacing w:line="247" w:lineRule="auto"/>
              <w:jc w:val="center"/>
              <w:outlineLvl w:val="1"/>
              <w:rPr>
                <w:lang w:val="en-US"/>
              </w:rPr>
            </w:pPr>
            <w:r>
              <w:rPr>
                <w:lang w:val="en-US"/>
              </w:rPr>
              <w:t>-</w:t>
            </w:r>
          </w:p>
        </w:tc>
        <w:tc>
          <w:tcPr>
            <w:tcW w:w="1984" w:type="dxa"/>
            <w:tcBorders>
              <w:top w:val="nil"/>
              <w:left w:val="single" w:sz="4" w:space="0" w:color="auto"/>
              <w:bottom w:val="single" w:sz="8" w:space="0" w:color="auto"/>
              <w:right w:val="single" w:sz="8" w:space="0" w:color="auto"/>
            </w:tcBorders>
            <w:shd w:val="clear" w:color="auto" w:fill="auto"/>
            <w:noWrap/>
            <w:vAlign w:val="center"/>
          </w:tcPr>
          <w:p w14:paraId="49C739B1" w14:textId="27F26B28" w:rsidR="00FB2C6D" w:rsidRPr="0026340F" w:rsidRDefault="00FB2C6D" w:rsidP="00FB2C6D">
            <w:pPr>
              <w:spacing w:line="247" w:lineRule="auto"/>
              <w:jc w:val="center"/>
              <w:outlineLvl w:val="1"/>
            </w:pPr>
            <w:r>
              <w:t>Менее 50</w:t>
            </w:r>
          </w:p>
        </w:tc>
        <w:tc>
          <w:tcPr>
            <w:tcW w:w="992" w:type="dxa"/>
            <w:tcBorders>
              <w:top w:val="nil"/>
              <w:left w:val="nil"/>
              <w:bottom w:val="single" w:sz="8" w:space="0" w:color="auto"/>
              <w:right w:val="single" w:sz="4" w:space="0" w:color="auto"/>
            </w:tcBorders>
          </w:tcPr>
          <w:p w14:paraId="7AFD14C3" w14:textId="543DC4C8" w:rsidR="00FB2C6D" w:rsidRPr="00FB2C6D" w:rsidRDefault="00FB2C6D" w:rsidP="00FB2C6D">
            <w:pPr>
              <w:spacing w:line="247" w:lineRule="auto"/>
              <w:jc w:val="center"/>
              <w:outlineLvl w:val="1"/>
              <w:rPr>
                <w:lang w:val="en-US"/>
              </w:rPr>
            </w:pPr>
            <w:r>
              <w:rPr>
                <w:lang w:val="en-US"/>
              </w:rPr>
              <w:t>-</w:t>
            </w:r>
          </w:p>
        </w:tc>
        <w:tc>
          <w:tcPr>
            <w:tcW w:w="1985" w:type="dxa"/>
            <w:tcBorders>
              <w:top w:val="nil"/>
              <w:left w:val="single" w:sz="4" w:space="0" w:color="auto"/>
              <w:bottom w:val="single" w:sz="8" w:space="0" w:color="auto"/>
              <w:right w:val="single" w:sz="8" w:space="0" w:color="auto"/>
            </w:tcBorders>
            <w:shd w:val="clear" w:color="auto" w:fill="auto"/>
            <w:vAlign w:val="center"/>
          </w:tcPr>
          <w:p w14:paraId="5A127865" w14:textId="1C0F60C0" w:rsidR="00FB2C6D" w:rsidRPr="0026340F" w:rsidRDefault="00FB2C6D" w:rsidP="00FB2C6D">
            <w:pPr>
              <w:spacing w:line="247" w:lineRule="auto"/>
              <w:jc w:val="center"/>
              <w:outlineLvl w:val="1"/>
            </w:pPr>
            <w:r>
              <w:t>Менее 50</w:t>
            </w:r>
          </w:p>
        </w:tc>
      </w:tr>
      <w:tr w:rsidR="00FB2C6D" w:rsidRPr="00766DD9" w14:paraId="4644AFAA" w14:textId="77777777" w:rsidTr="00B6406A">
        <w:trPr>
          <w:trHeight w:val="330"/>
        </w:trPr>
        <w:tc>
          <w:tcPr>
            <w:tcW w:w="3402" w:type="dxa"/>
            <w:tcBorders>
              <w:top w:val="nil"/>
              <w:left w:val="single" w:sz="8" w:space="0" w:color="auto"/>
              <w:bottom w:val="single" w:sz="8" w:space="0" w:color="auto"/>
              <w:right w:val="single" w:sz="4" w:space="0" w:color="auto"/>
            </w:tcBorders>
            <w:shd w:val="clear" w:color="auto" w:fill="auto"/>
            <w:noWrap/>
          </w:tcPr>
          <w:p w14:paraId="01D4142A" w14:textId="77777777" w:rsidR="00FB2C6D" w:rsidRPr="0026340F" w:rsidRDefault="00FB2C6D" w:rsidP="00FB2C6D">
            <w:pPr>
              <w:jc w:val="center"/>
              <w:textAlignment w:val="baseline"/>
              <w:rPr>
                <w:b/>
              </w:rPr>
            </w:pPr>
            <w:r w:rsidRPr="0026340F">
              <w:rPr>
                <w:b/>
              </w:rPr>
              <w:t>Импорт</w:t>
            </w:r>
            <w:r>
              <w:rPr>
                <w:rStyle w:val="af0"/>
                <w:b/>
              </w:rPr>
              <w:footnoteReference w:id="1"/>
            </w:r>
          </w:p>
        </w:tc>
        <w:tc>
          <w:tcPr>
            <w:tcW w:w="1134" w:type="dxa"/>
            <w:tcBorders>
              <w:top w:val="nil"/>
              <w:left w:val="single" w:sz="4" w:space="0" w:color="auto"/>
              <w:bottom w:val="single" w:sz="8" w:space="0" w:color="auto"/>
              <w:right w:val="single" w:sz="4" w:space="0" w:color="auto"/>
            </w:tcBorders>
          </w:tcPr>
          <w:p w14:paraId="40164222" w14:textId="7A041653" w:rsidR="00FB2C6D" w:rsidRPr="00FB2C6D" w:rsidRDefault="00FB2C6D" w:rsidP="00FB2C6D">
            <w:pPr>
              <w:spacing w:line="247" w:lineRule="auto"/>
              <w:jc w:val="center"/>
              <w:outlineLvl w:val="1"/>
              <w:rPr>
                <w:lang w:val="en-US"/>
              </w:rPr>
            </w:pPr>
            <w:r>
              <w:rPr>
                <w:lang w:val="en-US"/>
              </w:rPr>
              <w:t>-</w:t>
            </w:r>
          </w:p>
        </w:tc>
        <w:tc>
          <w:tcPr>
            <w:tcW w:w="1984" w:type="dxa"/>
            <w:tcBorders>
              <w:top w:val="nil"/>
              <w:left w:val="single" w:sz="4" w:space="0" w:color="auto"/>
              <w:bottom w:val="single" w:sz="8" w:space="0" w:color="auto"/>
              <w:right w:val="single" w:sz="8" w:space="0" w:color="auto"/>
            </w:tcBorders>
            <w:shd w:val="clear" w:color="auto" w:fill="auto"/>
            <w:noWrap/>
            <w:vAlign w:val="center"/>
          </w:tcPr>
          <w:p w14:paraId="30F3F902" w14:textId="0B8EBC9E" w:rsidR="00FB2C6D" w:rsidRPr="0026340F" w:rsidRDefault="00FB2C6D" w:rsidP="00FB2C6D">
            <w:pPr>
              <w:spacing w:line="247" w:lineRule="auto"/>
              <w:jc w:val="center"/>
              <w:outlineLvl w:val="1"/>
              <w:rPr>
                <w:lang w:val="en-US"/>
              </w:rPr>
            </w:pPr>
            <w:r>
              <w:t>Менее 50</w:t>
            </w:r>
          </w:p>
        </w:tc>
        <w:tc>
          <w:tcPr>
            <w:tcW w:w="992" w:type="dxa"/>
            <w:tcBorders>
              <w:top w:val="nil"/>
              <w:left w:val="nil"/>
              <w:bottom w:val="single" w:sz="8" w:space="0" w:color="auto"/>
              <w:right w:val="single" w:sz="4" w:space="0" w:color="auto"/>
            </w:tcBorders>
          </w:tcPr>
          <w:p w14:paraId="1AA4865D" w14:textId="75B90763" w:rsidR="00FB2C6D" w:rsidRPr="00FB2C6D" w:rsidRDefault="00FB2C6D" w:rsidP="00FB2C6D">
            <w:pPr>
              <w:jc w:val="center"/>
              <w:outlineLvl w:val="1"/>
              <w:rPr>
                <w:color w:val="000000"/>
                <w:lang w:val="en-US"/>
              </w:rPr>
            </w:pPr>
            <w:r>
              <w:rPr>
                <w:color w:val="000000"/>
                <w:lang w:val="en-US"/>
              </w:rPr>
              <w:t>-</w:t>
            </w:r>
          </w:p>
        </w:tc>
        <w:tc>
          <w:tcPr>
            <w:tcW w:w="1985" w:type="dxa"/>
            <w:tcBorders>
              <w:top w:val="nil"/>
              <w:left w:val="single" w:sz="4" w:space="0" w:color="auto"/>
              <w:bottom w:val="single" w:sz="8" w:space="0" w:color="auto"/>
              <w:right w:val="single" w:sz="8" w:space="0" w:color="auto"/>
            </w:tcBorders>
            <w:shd w:val="clear" w:color="auto" w:fill="auto"/>
            <w:vAlign w:val="center"/>
          </w:tcPr>
          <w:p w14:paraId="34C35FF3" w14:textId="01A00C3D" w:rsidR="00FB2C6D" w:rsidRPr="0026340F" w:rsidRDefault="00FB2C6D" w:rsidP="00FB2C6D">
            <w:pPr>
              <w:spacing w:line="247" w:lineRule="auto"/>
              <w:jc w:val="center"/>
              <w:outlineLvl w:val="1"/>
            </w:pPr>
            <w:r>
              <w:t>Менее 50</w:t>
            </w:r>
          </w:p>
        </w:tc>
      </w:tr>
    </w:tbl>
    <w:p w14:paraId="3FBEF7FA" w14:textId="77777777" w:rsidR="00C55A50" w:rsidRDefault="00C55A50" w:rsidP="004D34DD">
      <w:pPr>
        <w:ind w:firstLine="709"/>
        <w:jc w:val="both"/>
        <w:rPr>
          <w:sz w:val="28"/>
        </w:rPr>
      </w:pPr>
    </w:p>
    <w:p w14:paraId="4A9F5CDB" w14:textId="77777777" w:rsidR="0054305D" w:rsidRPr="00CE567D" w:rsidRDefault="0033001A" w:rsidP="00FC489D">
      <w:pPr>
        <w:pStyle w:val="1"/>
        <w:jc w:val="center"/>
        <w:rPr>
          <w:rFonts w:ascii="Times New Roman" w:hAnsi="Times New Roman" w:cs="Times New Roman"/>
          <w:b/>
          <w:color w:val="auto"/>
          <w:sz w:val="36"/>
          <w:szCs w:val="36"/>
        </w:rPr>
      </w:pPr>
      <w:bookmarkStart w:id="14" w:name="_Toc517465191"/>
      <w:bookmarkStart w:id="15" w:name="_Toc522004033"/>
      <w:r w:rsidRPr="00647628">
        <w:rPr>
          <w:rFonts w:ascii="Times New Roman" w:hAnsi="Times New Roman" w:cs="Times New Roman"/>
          <w:b/>
          <w:color w:val="auto"/>
          <w:lang w:val="en-US"/>
        </w:rPr>
        <w:t>VII</w:t>
      </w:r>
      <w:r w:rsidRPr="00647628">
        <w:rPr>
          <w:rFonts w:ascii="Times New Roman" w:hAnsi="Times New Roman" w:cs="Times New Roman"/>
          <w:b/>
          <w:color w:val="auto"/>
        </w:rPr>
        <w:t>.</w:t>
      </w:r>
      <w:r w:rsidRPr="00CE567D">
        <w:rPr>
          <w:rFonts w:ascii="Times New Roman" w:hAnsi="Times New Roman" w:cs="Times New Roman"/>
          <w:b/>
          <w:color w:val="auto"/>
          <w:sz w:val="36"/>
          <w:szCs w:val="36"/>
        </w:rPr>
        <w:t xml:space="preserve"> </w:t>
      </w:r>
      <w:r w:rsidR="004B705C" w:rsidRPr="00CE567D">
        <w:rPr>
          <w:rFonts w:ascii="Times New Roman" w:hAnsi="Times New Roman" w:cs="Times New Roman"/>
          <w:b/>
          <w:color w:val="auto"/>
          <w:sz w:val="36"/>
          <w:szCs w:val="36"/>
        </w:rPr>
        <w:t>О</w:t>
      </w:r>
      <w:r w:rsidR="0054305D" w:rsidRPr="00CE567D">
        <w:rPr>
          <w:rFonts w:ascii="Times New Roman" w:hAnsi="Times New Roman" w:cs="Times New Roman"/>
          <w:b/>
          <w:color w:val="auto"/>
          <w:sz w:val="36"/>
          <w:szCs w:val="36"/>
        </w:rPr>
        <w:t>пределение уров</w:t>
      </w:r>
      <w:r w:rsidR="00C272B1" w:rsidRPr="00CE567D">
        <w:rPr>
          <w:rFonts w:ascii="Times New Roman" w:hAnsi="Times New Roman" w:cs="Times New Roman"/>
          <w:b/>
          <w:color w:val="auto"/>
          <w:sz w:val="36"/>
          <w:szCs w:val="36"/>
        </w:rPr>
        <w:t>ня концентрации товарного рынка</w:t>
      </w:r>
      <w:bookmarkEnd w:id="14"/>
      <w:bookmarkEnd w:id="15"/>
    </w:p>
    <w:p w14:paraId="5EBA1A8B" w14:textId="77777777" w:rsidR="00315BD1" w:rsidRPr="00315BD1" w:rsidRDefault="00315BD1" w:rsidP="00315BD1"/>
    <w:p w14:paraId="2499304C" w14:textId="77777777" w:rsidR="00C3608A" w:rsidRDefault="00C3608A" w:rsidP="00315BD1">
      <w:pPr>
        <w:autoSpaceDE w:val="0"/>
        <w:autoSpaceDN w:val="0"/>
        <w:adjustRightInd w:val="0"/>
        <w:ind w:firstLine="709"/>
        <w:jc w:val="both"/>
        <w:rPr>
          <w:sz w:val="28"/>
          <w:szCs w:val="28"/>
        </w:rPr>
      </w:pPr>
      <w:r w:rsidRPr="00EF7C7E">
        <w:rPr>
          <w:sz w:val="28"/>
          <w:szCs w:val="28"/>
        </w:rPr>
        <w:t xml:space="preserve">В соответствии с разделом </w:t>
      </w:r>
      <w:r w:rsidRPr="00EF7C7E">
        <w:rPr>
          <w:sz w:val="28"/>
          <w:szCs w:val="28"/>
          <w:lang w:val="en-US"/>
        </w:rPr>
        <w:t>VII</w:t>
      </w:r>
      <w:r w:rsidRPr="00EF7C7E">
        <w:rPr>
          <w:sz w:val="28"/>
          <w:szCs w:val="28"/>
        </w:rPr>
        <w:t xml:space="preserve"> Порядка проведения анализа</w:t>
      </w:r>
      <w:r w:rsidR="00696CA9">
        <w:rPr>
          <w:sz w:val="28"/>
          <w:szCs w:val="28"/>
        </w:rPr>
        <w:t>,</w:t>
      </w:r>
      <w:r w:rsidRPr="00EF7C7E">
        <w:rPr>
          <w:sz w:val="28"/>
          <w:szCs w:val="28"/>
        </w:rPr>
        <w:t xml:space="preserve"> для определения  уровня концентрации товарного рынка используются следующие показатели</w:t>
      </w:r>
      <w:r>
        <w:rPr>
          <w:sz w:val="28"/>
          <w:szCs w:val="28"/>
        </w:rPr>
        <w:t>:</w:t>
      </w:r>
    </w:p>
    <w:p w14:paraId="23DE995F" w14:textId="77777777" w:rsidR="00C3608A" w:rsidRDefault="00C3608A" w:rsidP="00315BD1">
      <w:pPr>
        <w:pStyle w:val="a8"/>
        <w:numPr>
          <w:ilvl w:val="0"/>
          <w:numId w:val="19"/>
        </w:numPr>
        <w:tabs>
          <w:tab w:val="clear" w:pos="10206"/>
        </w:tabs>
        <w:ind w:left="0" w:firstLine="709"/>
        <w:rPr>
          <w:szCs w:val="28"/>
        </w:rPr>
      </w:pPr>
      <w:r>
        <w:rPr>
          <w:szCs w:val="28"/>
        </w:rPr>
        <w:t>Коэффициент рыночной концентрации (CR</w:t>
      </w:r>
      <w:r>
        <w:rPr>
          <w:szCs w:val="28"/>
          <w:vertAlign w:val="subscript"/>
          <w:lang w:val="en-US"/>
        </w:rPr>
        <w:t>n</w:t>
      </w:r>
      <w:r>
        <w:rPr>
          <w:szCs w:val="28"/>
        </w:rPr>
        <w:t>)</w:t>
      </w:r>
      <w:r w:rsidRPr="00EF7C7E">
        <w:rPr>
          <w:szCs w:val="28"/>
        </w:rPr>
        <w:t xml:space="preserve"> - </w:t>
      </w:r>
      <w:r w:rsidRPr="000500AC">
        <w:rPr>
          <w:szCs w:val="28"/>
        </w:rPr>
        <w:t>сумма долей на товарном рынке (выраженных в процентах) определенного числа (</w:t>
      </w:r>
      <w:r w:rsidRPr="000500AC">
        <w:rPr>
          <w:szCs w:val="28"/>
          <w:lang w:val="en-US"/>
        </w:rPr>
        <w:t>n</w:t>
      </w:r>
      <w:r w:rsidRPr="000500AC">
        <w:rPr>
          <w:szCs w:val="28"/>
        </w:rPr>
        <w:t>) крупнейших хозяйствующих субъектов, действующих на</w:t>
      </w:r>
      <w:r w:rsidRPr="00EF7C7E">
        <w:rPr>
          <w:szCs w:val="28"/>
        </w:rPr>
        <w:t xml:space="preserve"> </w:t>
      </w:r>
      <w:r>
        <w:rPr>
          <w:szCs w:val="28"/>
        </w:rPr>
        <w:t>товарном</w:t>
      </w:r>
      <w:r w:rsidRPr="000500AC">
        <w:rPr>
          <w:szCs w:val="28"/>
        </w:rPr>
        <w:t xml:space="preserve"> рынке</w:t>
      </w:r>
      <w:r>
        <w:rPr>
          <w:szCs w:val="28"/>
        </w:rPr>
        <w:t>.</w:t>
      </w:r>
    </w:p>
    <w:p w14:paraId="2DAE891C" w14:textId="77777777" w:rsidR="00C3608A" w:rsidRDefault="00C3608A" w:rsidP="00315BD1">
      <w:pPr>
        <w:numPr>
          <w:ilvl w:val="0"/>
          <w:numId w:val="19"/>
        </w:numPr>
        <w:autoSpaceDE w:val="0"/>
        <w:autoSpaceDN w:val="0"/>
        <w:adjustRightInd w:val="0"/>
        <w:ind w:left="0" w:firstLine="709"/>
        <w:jc w:val="both"/>
        <w:rPr>
          <w:sz w:val="28"/>
          <w:szCs w:val="28"/>
        </w:rPr>
      </w:pPr>
      <w:r w:rsidRPr="000500AC">
        <w:rPr>
          <w:sz w:val="28"/>
          <w:szCs w:val="28"/>
        </w:rPr>
        <w:t>Индекс рыночной концентрации Герфиндаля-Гиршмана</w:t>
      </w:r>
      <w:r w:rsidRPr="00EF7C7E">
        <w:rPr>
          <w:sz w:val="28"/>
          <w:szCs w:val="28"/>
        </w:rPr>
        <w:t xml:space="preserve"> (</w:t>
      </w:r>
      <w:r>
        <w:rPr>
          <w:sz w:val="28"/>
          <w:szCs w:val="28"/>
          <w:lang w:val="en-US"/>
        </w:rPr>
        <w:t>HHI</w:t>
      </w:r>
      <w:r w:rsidRPr="00EF7C7E">
        <w:rPr>
          <w:sz w:val="28"/>
          <w:szCs w:val="28"/>
        </w:rPr>
        <w:t>) -</w:t>
      </w:r>
      <w:r>
        <w:rPr>
          <w:sz w:val="28"/>
          <w:szCs w:val="28"/>
        </w:rPr>
        <w:t xml:space="preserve"> сумма квадратов долей (выраженных в процентах) на товарном рынке всех хозяйствующих субъектов, действующих на данном рынке.</w:t>
      </w:r>
    </w:p>
    <w:p w14:paraId="1BCEC879" w14:textId="77777777" w:rsidR="007A3E2B" w:rsidRDefault="007A3E2B" w:rsidP="00315BD1">
      <w:pPr>
        <w:autoSpaceDE w:val="0"/>
        <w:autoSpaceDN w:val="0"/>
        <w:adjustRightInd w:val="0"/>
        <w:ind w:firstLine="709"/>
        <w:jc w:val="both"/>
        <w:rPr>
          <w:sz w:val="28"/>
          <w:szCs w:val="28"/>
        </w:rPr>
      </w:pPr>
      <w:r>
        <w:rPr>
          <w:sz w:val="28"/>
          <w:szCs w:val="28"/>
        </w:rPr>
        <w:t>Коэффициент рыночной концентрации на рынке подвесных потолочных конструкций, в границах Российской Федерации составил:</w:t>
      </w:r>
    </w:p>
    <w:p w14:paraId="66ED8081" w14:textId="299CEF2A" w:rsidR="007A3E2B" w:rsidRPr="00EF7C7E" w:rsidRDefault="007A3E2B" w:rsidP="00315BD1">
      <w:pPr>
        <w:numPr>
          <w:ilvl w:val="0"/>
          <w:numId w:val="8"/>
        </w:numPr>
        <w:autoSpaceDE w:val="0"/>
        <w:autoSpaceDN w:val="0"/>
        <w:adjustRightInd w:val="0"/>
        <w:ind w:left="0" w:firstLine="709"/>
        <w:jc w:val="both"/>
        <w:rPr>
          <w:sz w:val="28"/>
          <w:szCs w:val="28"/>
        </w:rPr>
      </w:pPr>
      <w:r>
        <w:rPr>
          <w:sz w:val="28"/>
          <w:szCs w:val="28"/>
        </w:rPr>
        <w:t>2016</w:t>
      </w:r>
      <w:r w:rsidRPr="00FB2C6D">
        <w:rPr>
          <w:sz w:val="28"/>
          <w:szCs w:val="28"/>
        </w:rPr>
        <w:t xml:space="preserve"> </w:t>
      </w:r>
      <w:r>
        <w:rPr>
          <w:sz w:val="28"/>
          <w:szCs w:val="28"/>
        </w:rPr>
        <w:t>г. – (</w:t>
      </w:r>
      <w:r>
        <w:rPr>
          <w:sz w:val="28"/>
          <w:szCs w:val="28"/>
          <w:lang w:val="en-US"/>
        </w:rPr>
        <w:t>CR</w:t>
      </w:r>
      <w:r w:rsidRPr="00FB2C6D">
        <w:rPr>
          <w:sz w:val="28"/>
          <w:szCs w:val="28"/>
        </w:rPr>
        <w:t xml:space="preserve">3) = </w:t>
      </w:r>
      <w:r w:rsidR="00FB2C6D" w:rsidRPr="00FB2C6D">
        <w:rPr>
          <w:sz w:val="28"/>
          <w:szCs w:val="28"/>
        </w:rPr>
        <w:t>&lt;</w:t>
      </w:r>
      <w:r w:rsidR="00FB2C6D">
        <w:rPr>
          <w:sz w:val="28"/>
          <w:szCs w:val="28"/>
        </w:rPr>
        <w:t>…</w:t>
      </w:r>
      <w:r w:rsidR="00FB2C6D">
        <w:rPr>
          <w:sz w:val="28"/>
          <w:szCs w:val="28"/>
          <w:lang w:val="en-US"/>
        </w:rPr>
        <w:t>&gt;*</w:t>
      </w:r>
      <w:r>
        <w:rPr>
          <w:sz w:val="28"/>
          <w:szCs w:val="28"/>
        </w:rPr>
        <w:t xml:space="preserve"> = 69,5</w:t>
      </w:r>
    </w:p>
    <w:p w14:paraId="4067B7B2" w14:textId="7DF7D9D1" w:rsidR="007A3E2B" w:rsidRPr="00EF7C7E" w:rsidRDefault="007A3E2B" w:rsidP="00315BD1">
      <w:pPr>
        <w:numPr>
          <w:ilvl w:val="0"/>
          <w:numId w:val="8"/>
        </w:numPr>
        <w:autoSpaceDE w:val="0"/>
        <w:autoSpaceDN w:val="0"/>
        <w:adjustRightInd w:val="0"/>
        <w:ind w:left="0" w:firstLine="709"/>
        <w:jc w:val="both"/>
        <w:rPr>
          <w:sz w:val="28"/>
          <w:szCs w:val="28"/>
        </w:rPr>
      </w:pPr>
      <w:r>
        <w:rPr>
          <w:sz w:val="28"/>
          <w:szCs w:val="28"/>
        </w:rPr>
        <w:t>2017 г. – (</w:t>
      </w:r>
      <w:r>
        <w:rPr>
          <w:sz w:val="28"/>
          <w:szCs w:val="28"/>
          <w:lang w:val="en-US"/>
        </w:rPr>
        <w:t>CR</w:t>
      </w:r>
      <w:r w:rsidRPr="00FB2C6D">
        <w:rPr>
          <w:sz w:val="28"/>
          <w:szCs w:val="28"/>
        </w:rPr>
        <w:t xml:space="preserve">3) = </w:t>
      </w:r>
      <w:r w:rsidR="00FB2C6D" w:rsidRPr="00FB2C6D">
        <w:rPr>
          <w:sz w:val="28"/>
          <w:szCs w:val="28"/>
        </w:rPr>
        <w:t>&lt;</w:t>
      </w:r>
      <w:r w:rsidR="00FB2C6D">
        <w:rPr>
          <w:sz w:val="28"/>
          <w:szCs w:val="28"/>
        </w:rPr>
        <w:t>…</w:t>
      </w:r>
      <w:r w:rsidR="00FB2C6D">
        <w:rPr>
          <w:sz w:val="28"/>
          <w:szCs w:val="28"/>
          <w:lang w:val="en-US"/>
        </w:rPr>
        <w:t xml:space="preserve">&gt;* </w:t>
      </w:r>
      <w:r>
        <w:rPr>
          <w:sz w:val="28"/>
          <w:szCs w:val="28"/>
        </w:rPr>
        <w:t>= 73,08</w:t>
      </w:r>
    </w:p>
    <w:p w14:paraId="65FEF18B" w14:textId="77777777" w:rsidR="007A3E2B" w:rsidRDefault="007A3E2B" w:rsidP="00315BD1">
      <w:pPr>
        <w:autoSpaceDE w:val="0"/>
        <w:autoSpaceDN w:val="0"/>
        <w:adjustRightInd w:val="0"/>
        <w:ind w:firstLine="709"/>
        <w:jc w:val="both"/>
        <w:rPr>
          <w:sz w:val="28"/>
          <w:szCs w:val="28"/>
        </w:rPr>
      </w:pPr>
      <w:r w:rsidRPr="000500AC">
        <w:rPr>
          <w:sz w:val="28"/>
          <w:szCs w:val="28"/>
        </w:rPr>
        <w:t>Индекс рыночной концентрации Герфиндаля-Гиршмана</w:t>
      </w:r>
      <w:r w:rsidR="00A34564">
        <w:rPr>
          <w:rStyle w:val="af0"/>
          <w:sz w:val="28"/>
          <w:szCs w:val="28"/>
        </w:rPr>
        <w:footnoteReference w:id="2"/>
      </w:r>
      <w:r w:rsidRPr="000500AC">
        <w:rPr>
          <w:sz w:val="28"/>
          <w:szCs w:val="28"/>
        </w:rPr>
        <w:t xml:space="preserve"> на</w:t>
      </w:r>
      <w:r>
        <w:rPr>
          <w:sz w:val="28"/>
          <w:szCs w:val="28"/>
        </w:rPr>
        <w:t xml:space="preserve"> рассматриваемом товарном</w:t>
      </w:r>
      <w:r w:rsidRPr="000500AC">
        <w:rPr>
          <w:sz w:val="28"/>
          <w:szCs w:val="28"/>
        </w:rPr>
        <w:t xml:space="preserve"> рынке составил:</w:t>
      </w:r>
    </w:p>
    <w:p w14:paraId="00853F16" w14:textId="18D2CBB0" w:rsidR="007A3E2B" w:rsidRPr="009D2AB3" w:rsidRDefault="007A3E2B" w:rsidP="00315BD1">
      <w:pPr>
        <w:numPr>
          <w:ilvl w:val="0"/>
          <w:numId w:val="9"/>
        </w:numPr>
        <w:autoSpaceDE w:val="0"/>
        <w:autoSpaceDN w:val="0"/>
        <w:adjustRightInd w:val="0"/>
        <w:ind w:left="0" w:firstLine="709"/>
        <w:jc w:val="both"/>
        <w:rPr>
          <w:b/>
          <w:sz w:val="28"/>
          <w:szCs w:val="28"/>
        </w:rPr>
      </w:pPr>
      <w:r>
        <w:rPr>
          <w:b/>
          <w:sz w:val="28"/>
          <w:szCs w:val="28"/>
        </w:rPr>
        <w:t>2016</w:t>
      </w:r>
      <w:r w:rsidRPr="009D2AB3">
        <w:rPr>
          <w:b/>
          <w:sz w:val="28"/>
          <w:szCs w:val="28"/>
        </w:rPr>
        <w:t xml:space="preserve"> – </w:t>
      </w:r>
      <w:r w:rsidRPr="009D2AB3">
        <w:rPr>
          <w:b/>
          <w:sz w:val="28"/>
          <w:szCs w:val="28"/>
          <w:lang w:val="en-US"/>
        </w:rPr>
        <w:t>HHI =</w:t>
      </w:r>
      <w:r w:rsidR="00F65629">
        <w:rPr>
          <w:b/>
          <w:sz w:val="28"/>
          <w:szCs w:val="28"/>
        </w:rPr>
        <w:t xml:space="preserve"> </w:t>
      </w:r>
      <w:r w:rsidR="00F671E8">
        <w:rPr>
          <w:b/>
          <w:sz w:val="28"/>
          <w:szCs w:val="28"/>
        </w:rPr>
        <w:t>19</w:t>
      </w:r>
      <w:r w:rsidR="00F671E8">
        <w:rPr>
          <w:b/>
          <w:sz w:val="28"/>
          <w:szCs w:val="28"/>
          <w:lang w:val="en-US"/>
        </w:rPr>
        <w:t>13</w:t>
      </w:r>
      <w:r w:rsidRPr="009D2AB3">
        <w:rPr>
          <w:b/>
          <w:sz w:val="28"/>
          <w:szCs w:val="28"/>
        </w:rPr>
        <w:t>.</w:t>
      </w:r>
    </w:p>
    <w:p w14:paraId="12D1DD73" w14:textId="36DB2A46" w:rsidR="00F65629" w:rsidRPr="006601BA" w:rsidRDefault="007A3E2B" w:rsidP="00315BD1">
      <w:pPr>
        <w:autoSpaceDE w:val="0"/>
        <w:autoSpaceDN w:val="0"/>
        <w:adjustRightInd w:val="0"/>
        <w:ind w:firstLine="709"/>
        <w:jc w:val="both"/>
        <w:rPr>
          <w:sz w:val="28"/>
          <w:szCs w:val="28"/>
          <w:lang w:val="en-US"/>
        </w:rPr>
      </w:pPr>
      <w:r w:rsidRPr="009D2AB3">
        <w:rPr>
          <w:sz w:val="28"/>
          <w:szCs w:val="28"/>
          <w:u w:val="single"/>
        </w:rPr>
        <w:t>Расчет:</w:t>
      </w:r>
      <w:r>
        <w:rPr>
          <w:sz w:val="28"/>
          <w:szCs w:val="28"/>
        </w:rPr>
        <w:t xml:space="preserve"> </w:t>
      </w:r>
      <w:r w:rsidR="00FB2C6D" w:rsidRPr="00FB2C6D">
        <w:rPr>
          <w:sz w:val="28"/>
          <w:szCs w:val="28"/>
        </w:rPr>
        <w:t>&lt;</w:t>
      </w:r>
      <w:r w:rsidR="00FB2C6D">
        <w:rPr>
          <w:sz w:val="28"/>
          <w:szCs w:val="28"/>
        </w:rPr>
        <w:t>…</w:t>
      </w:r>
      <w:r w:rsidR="00FB2C6D">
        <w:rPr>
          <w:sz w:val="28"/>
          <w:szCs w:val="28"/>
          <w:lang w:val="en-US"/>
        </w:rPr>
        <w:t xml:space="preserve">&gt;* </w:t>
      </w:r>
      <w:r w:rsidR="00F65629">
        <w:rPr>
          <w:sz w:val="28"/>
          <w:szCs w:val="28"/>
        </w:rPr>
        <w:t xml:space="preserve">= </w:t>
      </w:r>
      <w:r w:rsidR="00F671E8">
        <w:rPr>
          <w:sz w:val="28"/>
          <w:szCs w:val="28"/>
          <w:lang w:val="en-US"/>
        </w:rPr>
        <w:t>1913</w:t>
      </w:r>
      <w:r>
        <w:rPr>
          <w:sz w:val="28"/>
          <w:szCs w:val="28"/>
          <w:lang w:val="en-US"/>
        </w:rPr>
        <w:t>;</w:t>
      </w:r>
    </w:p>
    <w:p w14:paraId="18294FEF" w14:textId="53F3E9DB" w:rsidR="007A3E2B" w:rsidRPr="009D2AB3" w:rsidRDefault="007A3E2B" w:rsidP="00315BD1">
      <w:pPr>
        <w:numPr>
          <w:ilvl w:val="0"/>
          <w:numId w:val="9"/>
        </w:numPr>
        <w:autoSpaceDE w:val="0"/>
        <w:autoSpaceDN w:val="0"/>
        <w:adjustRightInd w:val="0"/>
        <w:ind w:left="0" w:firstLine="709"/>
        <w:jc w:val="both"/>
        <w:rPr>
          <w:b/>
          <w:sz w:val="28"/>
          <w:szCs w:val="28"/>
        </w:rPr>
      </w:pPr>
      <w:r>
        <w:rPr>
          <w:b/>
          <w:sz w:val="28"/>
          <w:szCs w:val="28"/>
          <w:lang w:val="en-US"/>
        </w:rPr>
        <w:lastRenderedPageBreak/>
        <w:t>2017</w:t>
      </w:r>
      <w:r w:rsidRPr="009D2AB3">
        <w:rPr>
          <w:b/>
          <w:sz w:val="28"/>
          <w:szCs w:val="28"/>
          <w:lang w:val="en-US"/>
        </w:rPr>
        <w:t xml:space="preserve"> – HHI =</w:t>
      </w:r>
      <w:r w:rsidR="00F671E8">
        <w:rPr>
          <w:b/>
          <w:sz w:val="28"/>
          <w:szCs w:val="28"/>
          <w:lang w:val="en-US"/>
        </w:rPr>
        <w:t>2144</w:t>
      </w:r>
      <w:r w:rsidRPr="009D2AB3">
        <w:rPr>
          <w:b/>
          <w:sz w:val="28"/>
          <w:szCs w:val="28"/>
        </w:rPr>
        <w:t>.</w:t>
      </w:r>
    </w:p>
    <w:p w14:paraId="1DEC9B2A" w14:textId="1FFECE23" w:rsidR="006601BA" w:rsidRPr="00EF7C7E" w:rsidRDefault="007A3E2B" w:rsidP="00FB2C6D">
      <w:pPr>
        <w:autoSpaceDE w:val="0"/>
        <w:autoSpaceDN w:val="0"/>
        <w:adjustRightInd w:val="0"/>
        <w:ind w:firstLine="709"/>
        <w:jc w:val="both"/>
        <w:rPr>
          <w:sz w:val="28"/>
          <w:szCs w:val="28"/>
        </w:rPr>
      </w:pPr>
      <w:r w:rsidRPr="009D2AB3">
        <w:rPr>
          <w:sz w:val="28"/>
          <w:szCs w:val="28"/>
          <w:u w:val="single"/>
        </w:rPr>
        <w:t>Расчет:</w:t>
      </w:r>
      <w:r>
        <w:rPr>
          <w:sz w:val="28"/>
          <w:szCs w:val="28"/>
          <w:lang w:val="en-US"/>
        </w:rPr>
        <w:t xml:space="preserve"> </w:t>
      </w:r>
      <w:r w:rsidR="00FB2C6D" w:rsidRPr="00FB2C6D">
        <w:rPr>
          <w:sz w:val="28"/>
          <w:szCs w:val="28"/>
        </w:rPr>
        <w:t>&lt;</w:t>
      </w:r>
      <w:r w:rsidR="00FB2C6D">
        <w:rPr>
          <w:sz w:val="28"/>
          <w:szCs w:val="28"/>
        </w:rPr>
        <w:t>…</w:t>
      </w:r>
      <w:r w:rsidR="00FB2C6D">
        <w:rPr>
          <w:sz w:val="28"/>
          <w:szCs w:val="28"/>
          <w:lang w:val="en-US"/>
        </w:rPr>
        <w:t xml:space="preserve">&gt;* </w:t>
      </w:r>
      <w:r w:rsidR="006601BA">
        <w:rPr>
          <w:sz w:val="28"/>
          <w:szCs w:val="28"/>
        </w:rPr>
        <w:t xml:space="preserve">= </w:t>
      </w:r>
      <w:r w:rsidR="00F671E8">
        <w:rPr>
          <w:sz w:val="28"/>
          <w:szCs w:val="28"/>
          <w:lang w:val="en-US"/>
        </w:rPr>
        <w:t>2144</w:t>
      </w:r>
      <w:r w:rsidR="006601BA">
        <w:rPr>
          <w:sz w:val="28"/>
          <w:szCs w:val="28"/>
        </w:rPr>
        <w:t>.</w:t>
      </w:r>
    </w:p>
    <w:p w14:paraId="1909527F" w14:textId="77777777" w:rsidR="007A3E2B" w:rsidRDefault="007A3E2B" w:rsidP="00315BD1">
      <w:pPr>
        <w:ind w:firstLine="709"/>
        <w:jc w:val="both"/>
        <w:rPr>
          <w:sz w:val="28"/>
          <w:szCs w:val="28"/>
        </w:rPr>
      </w:pPr>
      <w:r w:rsidRPr="000500AC">
        <w:rPr>
          <w:sz w:val="28"/>
          <w:szCs w:val="28"/>
        </w:rPr>
        <w:t>Таким образом, 70% &lt;= С</w:t>
      </w:r>
      <w:r w:rsidRPr="000500AC">
        <w:rPr>
          <w:sz w:val="28"/>
          <w:szCs w:val="28"/>
          <w:lang w:val="en-US"/>
        </w:rPr>
        <w:t>R</w:t>
      </w:r>
      <w:r w:rsidRPr="000500AC">
        <w:rPr>
          <w:sz w:val="28"/>
          <w:szCs w:val="28"/>
        </w:rPr>
        <w:t>3</w:t>
      </w:r>
      <w:r w:rsidRPr="000500AC">
        <w:rPr>
          <w:sz w:val="28"/>
          <w:szCs w:val="28"/>
          <w:vertAlign w:val="subscript"/>
        </w:rPr>
        <w:t xml:space="preserve"> </w:t>
      </w:r>
      <w:r w:rsidRPr="000500AC">
        <w:rPr>
          <w:sz w:val="28"/>
          <w:szCs w:val="28"/>
        </w:rPr>
        <w:t xml:space="preserve">&lt;= 100% и 2000 &lt;= </w:t>
      </w:r>
      <w:r w:rsidRPr="000500AC">
        <w:rPr>
          <w:sz w:val="28"/>
          <w:szCs w:val="28"/>
          <w:lang w:val="en-US"/>
        </w:rPr>
        <w:t>HHI</w:t>
      </w:r>
      <w:r w:rsidRPr="000500AC">
        <w:rPr>
          <w:sz w:val="28"/>
          <w:szCs w:val="28"/>
        </w:rPr>
        <w:t xml:space="preserve"> &lt;= 10000, следовательно, уровень концентрации рынка </w:t>
      </w:r>
      <w:r w:rsidR="006601BA">
        <w:rPr>
          <w:sz w:val="28"/>
          <w:szCs w:val="28"/>
        </w:rPr>
        <w:t>подвесных потолочных конструкций</w:t>
      </w:r>
      <w:r>
        <w:rPr>
          <w:sz w:val="28"/>
          <w:szCs w:val="28"/>
        </w:rPr>
        <w:t xml:space="preserve"> в границах Российской Федерации</w:t>
      </w:r>
      <w:r w:rsidRPr="000500AC">
        <w:rPr>
          <w:sz w:val="28"/>
          <w:szCs w:val="28"/>
        </w:rPr>
        <w:t xml:space="preserve"> является высоким.</w:t>
      </w:r>
      <w:r w:rsidR="00696CA9">
        <w:rPr>
          <w:sz w:val="28"/>
          <w:szCs w:val="28"/>
        </w:rPr>
        <w:t xml:space="preserve"> При этом, в 2016 году рынок относился к рынку с умеренной концентрацией.</w:t>
      </w:r>
    </w:p>
    <w:p w14:paraId="15AE7EC2" w14:textId="77777777" w:rsidR="00DD5820" w:rsidRPr="00DD5820" w:rsidRDefault="00AC388F" w:rsidP="00CE567D">
      <w:pPr>
        <w:autoSpaceDE w:val="0"/>
        <w:autoSpaceDN w:val="0"/>
        <w:adjustRightInd w:val="0"/>
        <w:ind w:firstLine="709"/>
        <w:jc w:val="both"/>
        <w:rPr>
          <w:color w:val="000000"/>
          <w:sz w:val="28"/>
          <w:szCs w:val="28"/>
        </w:rPr>
      </w:pPr>
      <w:r>
        <w:rPr>
          <w:color w:val="000000"/>
          <w:sz w:val="28"/>
          <w:szCs w:val="28"/>
        </w:rPr>
        <w:t xml:space="preserve">Необходимо отметить, что при расчете индекса Герфиндаля-Гиршмана не учитывается квадрат доли импорта, в виду того, что в импорт включено несколько поставщиков продукции, преимущественно из КНР, где доля каждого составляет менее 1%. Таким образом квадрат доли каждого импортера не значительно повлияет </w:t>
      </w:r>
      <w:r w:rsidR="00E17ABC">
        <w:rPr>
          <w:color w:val="000000"/>
          <w:sz w:val="28"/>
          <w:szCs w:val="28"/>
        </w:rPr>
        <w:t xml:space="preserve">(приведет к снижению) </w:t>
      </w:r>
      <w:r>
        <w:rPr>
          <w:color w:val="000000"/>
          <w:sz w:val="28"/>
          <w:szCs w:val="28"/>
        </w:rPr>
        <w:t>на итоговое значение индекса Герфинадля-Гиршмана.</w:t>
      </w:r>
    </w:p>
    <w:p w14:paraId="6241A58A" w14:textId="77777777" w:rsidR="0054305D" w:rsidRPr="00CE567D" w:rsidRDefault="0033001A" w:rsidP="00FC489D">
      <w:pPr>
        <w:pStyle w:val="1"/>
        <w:jc w:val="center"/>
        <w:rPr>
          <w:rFonts w:ascii="Times New Roman" w:hAnsi="Times New Roman" w:cs="Times New Roman"/>
          <w:b/>
          <w:color w:val="auto"/>
          <w:sz w:val="36"/>
        </w:rPr>
      </w:pPr>
      <w:bookmarkStart w:id="16" w:name="_Toc517465192"/>
      <w:bookmarkStart w:id="17" w:name="_Toc522004034"/>
      <w:r w:rsidRPr="00647628">
        <w:rPr>
          <w:rFonts w:ascii="Times New Roman" w:hAnsi="Times New Roman" w:cs="Times New Roman"/>
          <w:b/>
          <w:color w:val="auto"/>
          <w:lang w:val="en-US"/>
        </w:rPr>
        <w:t>VIII</w:t>
      </w:r>
      <w:r w:rsidRPr="00647628">
        <w:rPr>
          <w:rFonts w:ascii="Times New Roman" w:hAnsi="Times New Roman" w:cs="Times New Roman"/>
          <w:b/>
          <w:color w:val="auto"/>
        </w:rPr>
        <w:t>.</w:t>
      </w:r>
      <w:r w:rsidRPr="00CE567D">
        <w:rPr>
          <w:rFonts w:ascii="Times New Roman" w:hAnsi="Times New Roman" w:cs="Times New Roman"/>
          <w:b/>
          <w:color w:val="auto"/>
          <w:sz w:val="36"/>
        </w:rPr>
        <w:t xml:space="preserve"> </w:t>
      </w:r>
      <w:r w:rsidR="004B705C" w:rsidRPr="00CE567D">
        <w:rPr>
          <w:rFonts w:ascii="Times New Roman" w:hAnsi="Times New Roman" w:cs="Times New Roman"/>
          <w:b/>
          <w:color w:val="auto"/>
          <w:sz w:val="36"/>
        </w:rPr>
        <w:t>О</w:t>
      </w:r>
      <w:r w:rsidR="0054305D" w:rsidRPr="00CE567D">
        <w:rPr>
          <w:rFonts w:ascii="Times New Roman" w:hAnsi="Times New Roman" w:cs="Times New Roman"/>
          <w:b/>
          <w:color w:val="auto"/>
          <w:sz w:val="36"/>
        </w:rPr>
        <w:t>пределение б</w:t>
      </w:r>
      <w:r w:rsidR="00C272B1" w:rsidRPr="00CE567D">
        <w:rPr>
          <w:rFonts w:ascii="Times New Roman" w:hAnsi="Times New Roman" w:cs="Times New Roman"/>
          <w:b/>
          <w:color w:val="auto"/>
          <w:sz w:val="36"/>
        </w:rPr>
        <w:t>арьеров входа на товарный рынок</w:t>
      </w:r>
      <w:bookmarkEnd w:id="16"/>
      <w:bookmarkEnd w:id="17"/>
    </w:p>
    <w:p w14:paraId="0B788527" w14:textId="77777777" w:rsidR="0040756D" w:rsidRPr="0040756D" w:rsidRDefault="0040756D" w:rsidP="0040756D"/>
    <w:p w14:paraId="2998D514" w14:textId="77777777" w:rsidR="008827E5" w:rsidRPr="00EF7C7E" w:rsidRDefault="008827E5" w:rsidP="00315BD1">
      <w:pPr>
        <w:autoSpaceDE w:val="0"/>
        <w:autoSpaceDN w:val="0"/>
        <w:adjustRightInd w:val="0"/>
        <w:ind w:firstLine="709"/>
        <w:jc w:val="both"/>
        <w:rPr>
          <w:sz w:val="28"/>
          <w:szCs w:val="28"/>
        </w:rPr>
      </w:pPr>
      <w:r w:rsidRPr="00EF7C7E">
        <w:rPr>
          <w:sz w:val="28"/>
          <w:szCs w:val="28"/>
        </w:rPr>
        <w:t>При определении наличия (отсутс</w:t>
      </w:r>
      <w:r>
        <w:rPr>
          <w:sz w:val="28"/>
          <w:szCs w:val="28"/>
        </w:rPr>
        <w:t>т</w:t>
      </w:r>
      <w:r w:rsidRPr="00EF7C7E">
        <w:rPr>
          <w:sz w:val="28"/>
          <w:szCs w:val="28"/>
        </w:rPr>
        <w:t>вия) барьеров входа на рассматриваемый товарный рынок и степень их преодолимости учитывались установленные уровни реализации, отличающиеся субъектным составом участников.</w:t>
      </w:r>
    </w:p>
    <w:p w14:paraId="673324AC" w14:textId="3B99C730" w:rsidR="008827E5" w:rsidRPr="00125DCA" w:rsidRDefault="008827E5" w:rsidP="00315BD1">
      <w:pPr>
        <w:pStyle w:val="af2"/>
        <w:numPr>
          <w:ilvl w:val="0"/>
          <w:numId w:val="21"/>
        </w:numPr>
        <w:ind w:left="0" w:firstLine="709"/>
        <w:contextualSpacing w:val="0"/>
        <w:jc w:val="both"/>
        <w:rPr>
          <w:sz w:val="28"/>
          <w:szCs w:val="28"/>
        </w:rPr>
      </w:pPr>
      <w:r w:rsidRPr="00EF7C7E">
        <w:rPr>
          <w:sz w:val="28"/>
          <w:szCs w:val="28"/>
        </w:rPr>
        <w:t xml:space="preserve">Для производителей, обладающих полным циклом производства </w:t>
      </w:r>
      <w:r w:rsidR="009F32AE">
        <w:rPr>
          <w:sz w:val="28"/>
          <w:szCs w:val="28"/>
        </w:rPr>
        <w:t>подвесных потолочных систем, включая</w:t>
      </w:r>
      <w:r w:rsidRPr="00EF7C7E">
        <w:rPr>
          <w:sz w:val="28"/>
          <w:szCs w:val="28"/>
        </w:rPr>
        <w:t xml:space="preserve"> </w:t>
      </w:r>
      <w:r w:rsidR="009F32AE">
        <w:rPr>
          <w:sz w:val="28"/>
          <w:szCs w:val="28"/>
        </w:rPr>
        <w:t xml:space="preserve">облицовочные панели и </w:t>
      </w:r>
      <w:r w:rsidRPr="00EF7C7E">
        <w:rPr>
          <w:sz w:val="28"/>
          <w:szCs w:val="28"/>
        </w:rPr>
        <w:t>комплектующи</w:t>
      </w:r>
      <w:r w:rsidR="009F32AE">
        <w:rPr>
          <w:sz w:val="28"/>
          <w:szCs w:val="28"/>
        </w:rPr>
        <w:t>е системы подвесов</w:t>
      </w:r>
      <w:r w:rsidRPr="00EF7C7E">
        <w:rPr>
          <w:sz w:val="28"/>
          <w:szCs w:val="28"/>
        </w:rPr>
        <w:t xml:space="preserve"> и хозяйствующих субъектов, осуществляющих </w:t>
      </w:r>
      <w:r w:rsidR="009F32AE">
        <w:rPr>
          <w:sz w:val="28"/>
          <w:szCs w:val="28"/>
        </w:rPr>
        <w:t>реализацию импортиро</w:t>
      </w:r>
      <w:r w:rsidR="00570DF4">
        <w:rPr>
          <w:sz w:val="28"/>
          <w:szCs w:val="28"/>
        </w:rPr>
        <w:t>ванной продукции</w:t>
      </w:r>
      <w:r w:rsidR="00125DCA">
        <w:rPr>
          <w:sz w:val="28"/>
          <w:szCs w:val="28"/>
        </w:rPr>
        <w:t xml:space="preserve"> </w:t>
      </w:r>
      <w:r w:rsidR="00125DCA" w:rsidRPr="00EF7C7E">
        <w:rPr>
          <w:sz w:val="28"/>
          <w:szCs w:val="28"/>
        </w:rPr>
        <w:t>преодолимост</w:t>
      </w:r>
      <w:r w:rsidR="00125DCA">
        <w:rPr>
          <w:sz w:val="28"/>
          <w:szCs w:val="28"/>
        </w:rPr>
        <w:t>ь барьеров и их состав различны, за исключением необходимости прохождения пожарной сертификации каждого вида потолочной системы, минимальные затраты на которую составляют 100 000 руб.</w:t>
      </w:r>
    </w:p>
    <w:p w14:paraId="3012D478" w14:textId="77777777" w:rsidR="008827E5" w:rsidRPr="00EF7C7E" w:rsidRDefault="008827E5" w:rsidP="00315BD1">
      <w:pPr>
        <w:autoSpaceDE w:val="0"/>
        <w:autoSpaceDN w:val="0"/>
        <w:adjustRightInd w:val="0"/>
        <w:ind w:firstLine="709"/>
        <w:jc w:val="both"/>
        <w:rPr>
          <w:sz w:val="28"/>
          <w:szCs w:val="28"/>
        </w:rPr>
      </w:pPr>
      <w:r w:rsidRPr="00EF7C7E">
        <w:rPr>
          <w:sz w:val="28"/>
          <w:szCs w:val="28"/>
        </w:rPr>
        <w:t xml:space="preserve"> </w:t>
      </w:r>
      <w:r w:rsidR="00125DCA">
        <w:rPr>
          <w:sz w:val="28"/>
          <w:szCs w:val="28"/>
        </w:rPr>
        <w:t>С</w:t>
      </w:r>
      <w:r w:rsidR="00570DF4">
        <w:rPr>
          <w:sz w:val="28"/>
          <w:szCs w:val="28"/>
        </w:rPr>
        <w:t>огласно информации, представленной участниками рынка,</w:t>
      </w:r>
      <w:r w:rsidRPr="00EF7C7E">
        <w:rPr>
          <w:sz w:val="28"/>
          <w:szCs w:val="28"/>
        </w:rPr>
        <w:t xml:space="preserve"> экономическими ограничениями для входа на рынок потенциальных производителей полного цикла являются:</w:t>
      </w:r>
    </w:p>
    <w:p w14:paraId="5D6DCE58" w14:textId="18F2F3B9" w:rsidR="008827E5" w:rsidRPr="00EF7C7E" w:rsidRDefault="008827E5" w:rsidP="00315BD1">
      <w:pPr>
        <w:numPr>
          <w:ilvl w:val="0"/>
          <w:numId w:val="20"/>
        </w:numPr>
        <w:autoSpaceDE w:val="0"/>
        <w:autoSpaceDN w:val="0"/>
        <w:adjustRightInd w:val="0"/>
        <w:ind w:left="0" w:firstLine="709"/>
        <w:jc w:val="both"/>
        <w:rPr>
          <w:sz w:val="28"/>
          <w:szCs w:val="28"/>
        </w:rPr>
      </w:pPr>
      <w:r w:rsidRPr="00EF7C7E">
        <w:rPr>
          <w:bCs/>
          <w:sz w:val="28"/>
          <w:szCs w:val="28"/>
        </w:rPr>
        <w:t xml:space="preserve"> Величина капитальных затрат и первоначальных инвестиций. Для начала деятельности нового хозяйствующего субъекта потребуется значительный размер первоначального капитала, сопряженный с длительным сроком окупаемости.</w:t>
      </w:r>
      <w:r w:rsidR="00DD654D">
        <w:rPr>
          <w:bCs/>
          <w:sz w:val="28"/>
          <w:szCs w:val="28"/>
        </w:rPr>
        <w:t xml:space="preserve"> Для локализации производства потребуется объем инвестиций не ниже 10 млн. евро, при этом минимальный срок окупаемости составит 5 лет.</w:t>
      </w:r>
    </w:p>
    <w:p w14:paraId="5891DC23" w14:textId="77777777" w:rsidR="008827E5" w:rsidRPr="00EF7C7E" w:rsidRDefault="008827E5" w:rsidP="00315BD1">
      <w:pPr>
        <w:numPr>
          <w:ilvl w:val="0"/>
          <w:numId w:val="20"/>
        </w:numPr>
        <w:autoSpaceDE w:val="0"/>
        <w:autoSpaceDN w:val="0"/>
        <w:adjustRightInd w:val="0"/>
        <w:ind w:left="0" w:firstLine="709"/>
        <w:jc w:val="both"/>
        <w:rPr>
          <w:sz w:val="28"/>
          <w:szCs w:val="28"/>
        </w:rPr>
      </w:pPr>
      <w:r w:rsidRPr="00EF7C7E">
        <w:rPr>
          <w:bCs/>
          <w:sz w:val="28"/>
          <w:szCs w:val="28"/>
        </w:rPr>
        <w:t>Ограниченность и высокие издержки привлечения финансовых ресурсов, необходимых для первоначальных инвестиций в производственные мощности.</w:t>
      </w:r>
    </w:p>
    <w:p w14:paraId="6EB70035" w14:textId="77777777" w:rsidR="008827E5" w:rsidRPr="00EF7C7E" w:rsidRDefault="008827E5" w:rsidP="00315BD1">
      <w:pPr>
        <w:numPr>
          <w:ilvl w:val="0"/>
          <w:numId w:val="20"/>
        </w:numPr>
        <w:autoSpaceDE w:val="0"/>
        <w:autoSpaceDN w:val="0"/>
        <w:adjustRightInd w:val="0"/>
        <w:ind w:left="0" w:firstLine="709"/>
        <w:jc w:val="both"/>
        <w:rPr>
          <w:sz w:val="28"/>
          <w:szCs w:val="28"/>
        </w:rPr>
      </w:pPr>
      <w:r w:rsidRPr="00EF7C7E">
        <w:rPr>
          <w:bCs/>
          <w:sz w:val="28"/>
          <w:szCs w:val="28"/>
        </w:rPr>
        <w:t xml:space="preserve">Издержки, связанные с регистрацией </w:t>
      </w:r>
      <w:r w:rsidRPr="00EF7C7E">
        <w:rPr>
          <w:sz w:val="28"/>
          <w:szCs w:val="28"/>
        </w:rPr>
        <w:t>прав интеллектуальной собственности, а также рекламой и продвижением продукции.</w:t>
      </w:r>
    </w:p>
    <w:p w14:paraId="7D8FD4C1" w14:textId="77777777" w:rsidR="008827E5" w:rsidRPr="00EF7C7E" w:rsidRDefault="008827E5" w:rsidP="00315BD1">
      <w:pPr>
        <w:numPr>
          <w:ilvl w:val="0"/>
          <w:numId w:val="20"/>
        </w:numPr>
        <w:autoSpaceDE w:val="0"/>
        <w:autoSpaceDN w:val="0"/>
        <w:adjustRightInd w:val="0"/>
        <w:ind w:left="0" w:firstLine="709"/>
        <w:jc w:val="both"/>
        <w:rPr>
          <w:sz w:val="28"/>
          <w:szCs w:val="28"/>
        </w:rPr>
      </w:pPr>
      <w:r w:rsidRPr="00EF7C7E">
        <w:rPr>
          <w:sz w:val="28"/>
          <w:szCs w:val="28"/>
        </w:rPr>
        <w:t>Преимущества хозяйствующих субъектов, действующих на рассматриваемом рынке, перед потенциальными участниками товарного рынка, в частности, по наличию долгосрочных договоров с д</w:t>
      </w:r>
      <w:r w:rsidR="00DD654D">
        <w:rPr>
          <w:sz w:val="28"/>
          <w:szCs w:val="28"/>
        </w:rPr>
        <w:t xml:space="preserve">истрибьюторами (дилерами), </w:t>
      </w:r>
      <w:r w:rsidRPr="00EF7C7E">
        <w:rPr>
          <w:sz w:val="28"/>
          <w:szCs w:val="28"/>
        </w:rPr>
        <w:t>выстроенной цепочкой реализации продукции</w:t>
      </w:r>
      <w:r w:rsidR="00DD654D">
        <w:rPr>
          <w:sz w:val="28"/>
          <w:szCs w:val="28"/>
        </w:rPr>
        <w:t>, а также выстроенными долгосрочными отношениями с поставщиками сырья</w:t>
      </w:r>
      <w:r w:rsidRPr="00EF7C7E">
        <w:rPr>
          <w:sz w:val="28"/>
          <w:szCs w:val="28"/>
        </w:rPr>
        <w:t>.</w:t>
      </w:r>
    </w:p>
    <w:p w14:paraId="11E1F8B6" w14:textId="0188FE6F" w:rsidR="008827E5" w:rsidRPr="00CE567D" w:rsidRDefault="008827E5" w:rsidP="00CE567D">
      <w:pPr>
        <w:pStyle w:val="af2"/>
        <w:numPr>
          <w:ilvl w:val="0"/>
          <w:numId w:val="21"/>
        </w:numPr>
        <w:autoSpaceDE w:val="0"/>
        <w:autoSpaceDN w:val="0"/>
        <w:adjustRightInd w:val="0"/>
        <w:ind w:left="0" w:firstLine="709"/>
        <w:jc w:val="both"/>
        <w:rPr>
          <w:sz w:val="28"/>
          <w:szCs w:val="28"/>
        </w:rPr>
      </w:pPr>
      <w:r w:rsidRPr="00CE567D">
        <w:rPr>
          <w:sz w:val="28"/>
          <w:szCs w:val="28"/>
        </w:rPr>
        <w:t xml:space="preserve">Для потенциальных участников рынка, планирующих осуществлять </w:t>
      </w:r>
      <w:r w:rsidR="00BC527F" w:rsidRPr="00CE567D">
        <w:rPr>
          <w:sz w:val="28"/>
          <w:szCs w:val="28"/>
        </w:rPr>
        <w:t>реализацию импортированной</w:t>
      </w:r>
      <w:r w:rsidRPr="00CE567D">
        <w:rPr>
          <w:sz w:val="28"/>
          <w:szCs w:val="28"/>
        </w:rPr>
        <w:t xml:space="preserve"> продукции</w:t>
      </w:r>
      <w:r w:rsidR="00A81C97" w:rsidRPr="00CE567D">
        <w:rPr>
          <w:sz w:val="28"/>
          <w:szCs w:val="28"/>
        </w:rPr>
        <w:t xml:space="preserve">, в том числе для официальных </w:t>
      </w:r>
      <w:r w:rsidR="00A81C97" w:rsidRPr="00CE567D">
        <w:rPr>
          <w:sz w:val="28"/>
          <w:szCs w:val="28"/>
        </w:rPr>
        <w:lastRenderedPageBreak/>
        <w:t>представительств</w:t>
      </w:r>
      <w:r w:rsidR="00BC527F" w:rsidRPr="00CE567D">
        <w:rPr>
          <w:sz w:val="28"/>
          <w:szCs w:val="28"/>
        </w:rPr>
        <w:t xml:space="preserve"> иностранных производителей</w:t>
      </w:r>
      <w:r w:rsidR="00A81C97" w:rsidRPr="00CE567D">
        <w:rPr>
          <w:sz w:val="28"/>
          <w:szCs w:val="28"/>
        </w:rPr>
        <w:t>,</w:t>
      </w:r>
      <w:r w:rsidRPr="00CE567D">
        <w:rPr>
          <w:sz w:val="28"/>
          <w:szCs w:val="28"/>
        </w:rPr>
        <w:t xml:space="preserve"> основным экономическим барьеро</w:t>
      </w:r>
      <w:r w:rsidR="00130F87">
        <w:rPr>
          <w:sz w:val="28"/>
          <w:szCs w:val="28"/>
        </w:rPr>
        <w:t>м</w:t>
      </w:r>
      <w:r w:rsidRPr="00CE567D">
        <w:rPr>
          <w:sz w:val="28"/>
          <w:szCs w:val="28"/>
        </w:rPr>
        <w:t xml:space="preserve"> также </w:t>
      </w:r>
      <w:r w:rsidR="00130F87" w:rsidRPr="006516D1">
        <w:rPr>
          <w:sz w:val="28"/>
          <w:szCs w:val="28"/>
        </w:rPr>
        <w:t>является</w:t>
      </w:r>
      <w:r w:rsidR="00130F87" w:rsidRPr="00130F87">
        <w:rPr>
          <w:sz w:val="28"/>
          <w:szCs w:val="28"/>
        </w:rPr>
        <w:t xml:space="preserve"> </w:t>
      </w:r>
      <w:r w:rsidRPr="00CE567D">
        <w:rPr>
          <w:sz w:val="28"/>
          <w:szCs w:val="28"/>
        </w:rPr>
        <w:t xml:space="preserve">преимущество действующих участников </w:t>
      </w:r>
      <w:r w:rsidR="00130F87">
        <w:rPr>
          <w:sz w:val="28"/>
          <w:szCs w:val="28"/>
        </w:rPr>
        <w:t>(н</w:t>
      </w:r>
      <w:r w:rsidRPr="00CE567D">
        <w:rPr>
          <w:sz w:val="28"/>
          <w:szCs w:val="28"/>
        </w:rPr>
        <w:t>аличи</w:t>
      </w:r>
      <w:r w:rsidR="00130F87">
        <w:rPr>
          <w:sz w:val="28"/>
          <w:szCs w:val="28"/>
        </w:rPr>
        <w:t>е</w:t>
      </w:r>
      <w:r w:rsidRPr="00CE567D">
        <w:rPr>
          <w:sz w:val="28"/>
          <w:szCs w:val="28"/>
        </w:rPr>
        <w:t xml:space="preserve"> долгосрочных договоров с контрагентами и выстроенн</w:t>
      </w:r>
      <w:r w:rsidR="00130F87">
        <w:rPr>
          <w:sz w:val="28"/>
          <w:szCs w:val="28"/>
        </w:rPr>
        <w:t>ая</w:t>
      </w:r>
      <w:r w:rsidRPr="00CE567D">
        <w:rPr>
          <w:sz w:val="28"/>
          <w:szCs w:val="28"/>
        </w:rPr>
        <w:t xml:space="preserve"> цепочк</w:t>
      </w:r>
      <w:r w:rsidR="00130F87">
        <w:rPr>
          <w:sz w:val="28"/>
          <w:szCs w:val="28"/>
        </w:rPr>
        <w:t>а</w:t>
      </w:r>
      <w:r w:rsidRPr="00CE567D">
        <w:rPr>
          <w:sz w:val="28"/>
          <w:szCs w:val="28"/>
        </w:rPr>
        <w:t xml:space="preserve"> реализации</w:t>
      </w:r>
      <w:r w:rsidR="00130F87">
        <w:rPr>
          <w:sz w:val="28"/>
          <w:szCs w:val="28"/>
        </w:rPr>
        <w:t>)</w:t>
      </w:r>
      <w:r w:rsidRPr="00CE567D">
        <w:rPr>
          <w:sz w:val="28"/>
          <w:szCs w:val="28"/>
        </w:rPr>
        <w:t>.</w:t>
      </w:r>
    </w:p>
    <w:p w14:paraId="250F16B1" w14:textId="7F95AC48" w:rsidR="008827E5" w:rsidRDefault="008827E5" w:rsidP="00315BD1">
      <w:pPr>
        <w:autoSpaceDE w:val="0"/>
        <w:autoSpaceDN w:val="0"/>
        <w:adjustRightInd w:val="0"/>
        <w:ind w:firstLine="709"/>
        <w:jc w:val="both"/>
        <w:rPr>
          <w:sz w:val="28"/>
          <w:szCs w:val="28"/>
        </w:rPr>
      </w:pPr>
      <w:r w:rsidRPr="00A81C97">
        <w:rPr>
          <w:sz w:val="28"/>
          <w:szCs w:val="28"/>
        </w:rPr>
        <w:t xml:space="preserve">Вместе с этим, иные экономические ограничения для данных участников по сравнению с производителями полного цикла </w:t>
      </w:r>
      <w:r w:rsidR="00130F87">
        <w:rPr>
          <w:sz w:val="28"/>
          <w:szCs w:val="28"/>
        </w:rPr>
        <w:t xml:space="preserve">- </w:t>
      </w:r>
      <w:r w:rsidRPr="00A81C97">
        <w:rPr>
          <w:sz w:val="28"/>
          <w:szCs w:val="28"/>
        </w:rPr>
        <w:t>преодолимы.</w:t>
      </w:r>
    </w:p>
    <w:p w14:paraId="4EE63D19" w14:textId="79C84550" w:rsidR="00A81C97" w:rsidRPr="00EF7C7E" w:rsidRDefault="00DF12F8" w:rsidP="00315BD1">
      <w:pPr>
        <w:autoSpaceDE w:val="0"/>
        <w:autoSpaceDN w:val="0"/>
        <w:adjustRightInd w:val="0"/>
        <w:ind w:firstLine="709"/>
        <w:jc w:val="both"/>
        <w:rPr>
          <w:sz w:val="28"/>
          <w:szCs w:val="28"/>
        </w:rPr>
      </w:pPr>
      <w:r>
        <w:rPr>
          <w:sz w:val="28"/>
          <w:szCs w:val="28"/>
        </w:rPr>
        <w:t>Иные н</w:t>
      </w:r>
      <w:r w:rsidRPr="00EF7C7E">
        <w:rPr>
          <w:sz w:val="28"/>
          <w:szCs w:val="28"/>
        </w:rPr>
        <w:t xml:space="preserve">епреодолимые ограничения, препятствующие или затрудняющие хозяйствующим субъектам начало деятельности на товарном рынке </w:t>
      </w:r>
      <w:r>
        <w:rPr>
          <w:sz w:val="28"/>
          <w:szCs w:val="28"/>
        </w:rPr>
        <w:t>подвесных потолочных конструкций</w:t>
      </w:r>
      <w:r w:rsidRPr="00EF7C7E">
        <w:rPr>
          <w:sz w:val="28"/>
          <w:szCs w:val="28"/>
        </w:rPr>
        <w:t xml:space="preserve"> не выявлены.</w:t>
      </w:r>
      <w:r w:rsidR="00130F87">
        <w:rPr>
          <w:sz w:val="28"/>
          <w:szCs w:val="28"/>
        </w:rPr>
        <w:t xml:space="preserve"> </w:t>
      </w:r>
    </w:p>
    <w:p w14:paraId="71C2B5C8" w14:textId="77777777" w:rsidR="0054305D" w:rsidRPr="00CE567D" w:rsidRDefault="0033001A" w:rsidP="00FC489D">
      <w:pPr>
        <w:pStyle w:val="1"/>
        <w:jc w:val="center"/>
        <w:rPr>
          <w:rFonts w:ascii="Times New Roman" w:hAnsi="Times New Roman" w:cs="Times New Roman"/>
          <w:b/>
          <w:color w:val="auto"/>
          <w:sz w:val="36"/>
        </w:rPr>
      </w:pPr>
      <w:bookmarkStart w:id="18" w:name="_Toc517465193"/>
      <w:bookmarkStart w:id="19" w:name="_Toc522004035"/>
      <w:r w:rsidRPr="00647628">
        <w:rPr>
          <w:rFonts w:ascii="Times New Roman" w:hAnsi="Times New Roman" w:cs="Times New Roman"/>
          <w:b/>
          <w:color w:val="auto"/>
          <w:lang w:val="en-US"/>
        </w:rPr>
        <w:t>IX</w:t>
      </w:r>
      <w:r w:rsidRPr="00647628">
        <w:rPr>
          <w:rFonts w:ascii="Times New Roman" w:hAnsi="Times New Roman" w:cs="Times New Roman"/>
          <w:b/>
          <w:color w:val="auto"/>
        </w:rPr>
        <w:t>.</w:t>
      </w:r>
      <w:r w:rsidRPr="00FC489D">
        <w:rPr>
          <w:b/>
          <w:color w:val="auto"/>
          <w:sz w:val="36"/>
        </w:rPr>
        <w:t xml:space="preserve"> </w:t>
      </w:r>
      <w:r w:rsidR="004B705C" w:rsidRPr="00CE567D">
        <w:rPr>
          <w:rFonts w:ascii="Times New Roman" w:hAnsi="Times New Roman" w:cs="Times New Roman"/>
          <w:b/>
          <w:color w:val="auto"/>
          <w:sz w:val="36"/>
        </w:rPr>
        <w:t>У</w:t>
      </w:r>
      <w:r w:rsidR="0054305D" w:rsidRPr="00CE567D">
        <w:rPr>
          <w:rFonts w:ascii="Times New Roman" w:hAnsi="Times New Roman" w:cs="Times New Roman"/>
          <w:b/>
          <w:color w:val="auto"/>
          <w:sz w:val="36"/>
        </w:rPr>
        <w:t>становление доминирующего положения хозяйствующего субъекта (хозяйствующих субъектов)</w:t>
      </w:r>
      <w:r w:rsidR="004B705C" w:rsidRPr="00CE567D">
        <w:rPr>
          <w:rFonts w:ascii="Times New Roman" w:hAnsi="Times New Roman" w:cs="Times New Roman"/>
          <w:b/>
          <w:color w:val="auto"/>
          <w:sz w:val="36"/>
        </w:rPr>
        <w:t xml:space="preserve"> на товарном рынке</w:t>
      </w:r>
      <w:bookmarkEnd w:id="18"/>
      <w:bookmarkEnd w:id="19"/>
    </w:p>
    <w:p w14:paraId="55C4A15B" w14:textId="77777777" w:rsidR="00DD5820" w:rsidRDefault="00DD5820" w:rsidP="004B705C">
      <w:pPr>
        <w:ind w:firstLine="426"/>
        <w:jc w:val="both"/>
        <w:rPr>
          <w:color w:val="FF0000"/>
          <w:sz w:val="28"/>
          <w:szCs w:val="28"/>
        </w:rPr>
      </w:pPr>
    </w:p>
    <w:p w14:paraId="736F08E1" w14:textId="77777777" w:rsidR="00387F61" w:rsidRPr="00EF7C7E" w:rsidRDefault="00387F61" w:rsidP="00315BD1">
      <w:pPr>
        <w:ind w:firstLine="709"/>
        <w:jc w:val="both"/>
        <w:rPr>
          <w:sz w:val="28"/>
          <w:szCs w:val="28"/>
        </w:rPr>
      </w:pPr>
      <w:r w:rsidRPr="00EF7C7E">
        <w:rPr>
          <w:sz w:val="28"/>
          <w:szCs w:val="28"/>
        </w:rPr>
        <w:t>Доминирующее положение хозяйствующего субъекта на товарном рынке определяется на основании статьи 5 Закона о защите конкуренции.</w:t>
      </w:r>
    </w:p>
    <w:p w14:paraId="05B4A45E" w14:textId="77777777" w:rsidR="00387F61" w:rsidRPr="00EF7C7E" w:rsidRDefault="00387F61" w:rsidP="00315BD1">
      <w:pPr>
        <w:ind w:firstLine="709"/>
        <w:jc w:val="both"/>
        <w:rPr>
          <w:sz w:val="28"/>
          <w:szCs w:val="28"/>
        </w:rPr>
      </w:pPr>
      <w:r w:rsidRPr="00EF7C7E">
        <w:rPr>
          <w:sz w:val="28"/>
          <w:szCs w:val="28"/>
        </w:rPr>
        <w:t>Согласно статье 5 Закона о защите конкуренции,</w:t>
      </w:r>
      <w:r w:rsidRPr="00EF7C7E">
        <w:rPr>
          <w:rStyle w:val="blk"/>
          <w:sz w:val="28"/>
          <w:szCs w:val="28"/>
        </w:rPr>
        <w:t xml:space="preserve">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14:paraId="7E124ABD" w14:textId="77777777" w:rsidR="00387F61" w:rsidRPr="00EF7C7E" w:rsidRDefault="00387F61" w:rsidP="00315BD1">
      <w:pPr>
        <w:pStyle w:val="21"/>
        <w:tabs>
          <w:tab w:val="left" w:pos="4820"/>
        </w:tabs>
        <w:ind w:firstLine="709"/>
        <w:jc w:val="both"/>
        <w:rPr>
          <w:szCs w:val="28"/>
        </w:rPr>
      </w:pPr>
      <w:r w:rsidRPr="00EF7C7E">
        <w:rPr>
          <w:szCs w:val="28"/>
        </w:rPr>
        <w:t>Таким образом, для определения доминирующего положения в Законе о защите конкуренции используется одновременно два критерия: качественный и количественный:</w:t>
      </w:r>
    </w:p>
    <w:p w14:paraId="1ECA3564" w14:textId="77777777" w:rsidR="00387F61" w:rsidRPr="00EF7C7E" w:rsidRDefault="00387F61" w:rsidP="00315BD1">
      <w:pPr>
        <w:pStyle w:val="21"/>
        <w:numPr>
          <w:ilvl w:val="0"/>
          <w:numId w:val="22"/>
        </w:numPr>
        <w:ind w:left="0" w:firstLine="709"/>
        <w:jc w:val="both"/>
      </w:pPr>
      <w:r w:rsidRPr="00EF7C7E">
        <w:rPr>
          <w:szCs w:val="28"/>
        </w:rPr>
        <w:t>к</w:t>
      </w:r>
      <w:r w:rsidRPr="00EF7C7E">
        <w:t>ачественный критерий иллюстрирует последствия, которые возникают при наличии у хозяйствующего субъекта (группы лиц) на рынке определенного товара  доминирующего положения;</w:t>
      </w:r>
    </w:p>
    <w:p w14:paraId="4E6EF333" w14:textId="77777777" w:rsidR="00387F61" w:rsidRPr="00EF7C7E" w:rsidRDefault="00387F61" w:rsidP="00315BD1">
      <w:pPr>
        <w:pStyle w:val="21"/>
        <w:numPr>
          <w:ilvl w:val="0"/>
          <w:numId w:val="22"/>
        </w:numPr>
        <w:ind w:left="0" w:firstLine="709"/>
        <w:jc w:val="both"/>
        <w:rPr>
          <w:szCs w:val="28"/>
        </w:rPr>
      </w:pPr>
      <w:r w:rsidRPr="00EF7C7E">
        <w:t>количественный критерий представляет собой долю на рынке определенного товара, при обладании которой хозяйствующий субъект признается доминирующим.</w:t>
      </w:r>
    </w:p>
    <w:p w14:paraId="1174DC5F" w14:textId="77777777" w:rsidR="00387F61" w:rsidRDefault="00387F61" w:rsidP="00315BD1">
      <w:pPr>
        <w:pStyle w:val="21"/>
        <w:ind w:firstLine="709"/>
        <w:jc w:val="both"/>
        <w:rPr>
          <w:szCs w:val="28"/>
        </w:rPr>
      </w:pPr>
      <w:r>
        <w:rPr>
          <w:szCs w:val="28"/>
        </w:rPr>
        <w:t>До момента совершения предполагаемой сделки ни один из хозяйствующих субъектов, действующих на рынке подвесных потолочных конструкций в границах Российской Федерации не занимает доминирующего положения в соответствии с количественным и качественным критериями определения положения хозяйствующего субъекта на товарном рынке.</w:t>
      </w:r>
    </w:p>
    <w:p w14:paraId="4B36F11E" w14:textId="21F77729" w:rsidR="00387F61" w:rsidRPr="00387F61" w:rsidRDefault="00387F61" w:rsidP="00315BD1">
      <w:pPr>
        <w:pStyle w:val="21"/>
        <w:ind w:firstLine="709"/>
        <w:jc w:val="both"/>
        <w:rPr>
          <w:szCs w:val="28"/>
        </w:rPr>
      </w:pPr>
      <w:r w:rsidRPr="00EF7C7E">
        <w:rPr>
          <w:szCs w:val="28"/>
        </w:rPr>
        <w:t>П</w:t>
      </w:r>
      <w:r>
        <w:rPr>
          <w:szCs w:val="28"/>
        </w:rPr>
        <w:t>осле совершения предполагаемой с</w:t>
      </w:r>
      <w:r w:rsidRPr="00EF7C7E">
        <w:rPr>
          <w:szCs w:val="28"/>
        </w:rPr>
        <w:t>делки</w:t>
      </w:r>
      <w:r>
        <w:rPr>
          <w:szCs w:val="28"/>
        </w:rPr>
        <w:t xml:space="preserve"> на рассматриваемом товарном рынке</w:t>
      </w:r>
      <w:r w:rsidRPr="00EF7C7E">
        <w:rPr>
          <w:szCs w:val="28"/>
        </w:rPr>
        <w:t xml:space="preserve"> </w:t>
      </w:r>
      <w:r>
        <w:rPr>
          <w:szCs w:val="28"/>
        </w:rPr>
        <w:t xml:space="preserve">доля </w:t>
      </w:r>
      <w:r w:rsidRPr="00EF7C7E">
        <w:rPr>
          <w:szCs w:val="28"/>
        </w:rPr>
        <w:t>группы компаний «</w:t>
      </w:r>
      <w:r>
        <w:rPr>
          <w:szCs w:val="28"/>
        </w:rPr>
        <w:t>КНАУФ</w:t>
      </w:r>
      <w:r w:rsidRPr="00EF7C7E">
        <w:rPr>
          <w:szCs w:val="28"/>
        </w:rPr>
        <w:t xml:space="preserve">» на рынке </w:t>
      </w:r>
      <w:r w:rsidRPr="00387F61">
        <w:rPr>
          <w:szCs w:val="28"/>
        </w:rPr>
        <w:t>подвесных потолочных конструкций</w:t>
      </w:r>
      <w:r w:rsidRPr="00EF7C7E">
        <w:rPr>
          <w:szCs w:val="28"/>
        </w:rPr>
        <w:t xml:space="preserve"> в</w:t>
      </w:r>
      <w:r>
        <w:rPr>
          <w:szCs w:val="28"/>
        </w:rPr>
        <w:t xml:space="preserve"> границах Российской Федерации увеличится</w:t>
      </w:r>
      <w:r w:rsidRPr="00EF7C7E">
        <w:rPr>
          <w:szCs w:val="28"/>
        </w:rPr>
        <w:t xml:space="preserve"> и </w:t>
      </w:r>
      <w:r w:rsidR="00130F87">
        <w:rPr>
          <w:szCs w:val="28"/>
        </w:rPr>
        <w:t xml:space="preserve">оценочно </w:t>
      </w:r>
      <w:r w:rsidRPr="00EF7C7E">
        <w:rPr>
          <w:szCs w:val="28"/>
        </w:rPr>
        <w:t xml:space="preserve">составит </w:t>
      </w:r>
      <w:r w:rsidR="00130F87">
        <w:rPr>
          <w:szCs w:val="28"/>
        </w:rPr>
        <w:t>порядка</w:t>
      </w:r>
      <w:r>
        <w:rPr>
          <w:szCs w:val="28"/>
        </w:rPr>
        <w:t xml:space="preserve"> 41%</w:t>
      </w:r>
      <w:r w:rsidRPr="00EF7C7E">
        <w:rPr>
          <w:szCs w:val="28"/>
        </w:rPr>
        <w:t xml:space="preserve"> </w:t>
      </w:r>
      <w:r>
        <w:rPr>
          <w:szCs w:val="28"/>
        </w:rPr>
        <w:t>(таблица 2)</w:t>
      </w:r>
      <w:r w:rsidRPr="00EF7C7E">
        <w:rPr>
          <w:szCs w:val="28"/>
        </w:rPr>
        <w:t>.</w:t>
      </w:r>
    </w:p>
    <w:p w14:paraId="15CCE61D" w14:textId="77777777" w:rsidR="00387F61" w:rsidRPr="00387F61" w:rsidRDefault="00387F61" w:rsidP="00387F61">
      <w:pPr>
        <w:pStyle w:val="af1"/>
        <w:keepNext/>
        <w:jc w:val="right"/>
        <w:rPr>
          <w:sz w:val="24"/>
        </w:rPr>
      </w:pPr>
      <w:r w:rsidRPr="00387F61">
        <w:rPr>
          <w:sz w:val="24"/>
        </w:rPr>
        <w:t xml:space="preserve">Таблица </w:t>
      </w:r>
      <w:r w:rsidRPr="00387F61">
        <w:rPr>
          <w:sz w:val="24"/>
        </w:rPr>
        <w:fldChar w:fldCharType="begin"/>
      </w:r>
      <w:r w:rsidRPr="00387F61">
        <w:rPr>
          <w:sz w:val="24"/>
        </w:rPr>
        <w:instrText xml:space="preserve"> SEQ Таблица \* ARABIC </w:instrText>
      </w:r>
      <w:r w:rsidRPr="00387F61">
        <w:rPr>
          <w:sz w:val="24"/>
        </w:rPr>
        <w:fldChar w:fldCharType="separate"/>
      </w:r>
      <w:r w:rsidR="00647628">
        <w:rPr>
          <w:noProof/>
          <w:sz w:val="24"/>
        </w:rPr>
        <w:t>2</w:t>
      </w:r>
      <w:r w:rsidRPr="00387F61">
        <w:rPr>
          <w:sz w:val="24"/>
        </w:rPr>
        <w:fldChar w:fldCharType="end"/>
      </w:r>
    </w:p>
    <w:tbl>
      <w:tblPr>
        <w:tblW w:w="9923" w:type="dxa"/>
        <w:tblInd w:w="-10" w:type="dxa"/>
        <w:tblLook w:val="04A0" w:firstRow="1" w:lastRow="0" w:firstColumn="1" w:lastColumn="0" w:noHBand="0" w:noVBand="1"/>
      </w:tblPr>
      <w:tblGrid>
        <w:gridCol w:w="7371"/>
        <w:gridCol w:w="1252"/>
        <w:gridCol w:w="1300"/>
      </w:tblGrid>
      <w:tr w:rsidR="00387F61" w:rsidRPr="00130F87" w14:paraId="4C54DDA9" w14:textId="77777777" w:rsidTr="00CE567D">
        <w:trPr>
          <w:trHeight w:val="169"/>
        </w:trPr>
        <w:tc>
          <w:tcPr>
            <w:tcW w:w="7371" w:type="dxa"/>
            <w:tcBorders>
              <w:top w:val="single" w:sz="8" w:space="0" w:color="auto"/>
              <w:left w:val="single" w:sz="8" w:space="0" w:color="auto"/>
              <w:bottom w:val="nil"/>
              <w:right w:val="single" w:sz="8" w:space="0" w:color="auto"/>
            </w:tcBorders>
            <w:shd w:val="clear" w:color="auto" w:fill="F7CAAC"/>
            <w:noWrap/>
            <w:vAlign w:val="center"/>
            <w:hideMark/>
          </w:tcPr>
          <w:p w14:paraId="70A4B4AF" w14:textId="77777777" w:rsidR="00387F61" w:rsidRPr="00CE567D" w:rsidRDefault="00387F61" w:rsidP="00CA403B">
            <w:pPr>
              <w:spacing w:line="247" w:lineRule="auto"/>
              <w:jc w:val="center"/>
              <w:rPr>
                <w:b/>
                <w:sz w:val="27"/>
                <w:szCs w:val="27"/>
              </w:rPr>
            </w:pPr>
            <w:r w:rsidRPr="00CE567D">
              <w:rPr>
                <w:b/>
                <w:sz w:val="27"/>
                <w:szCs w:val="27"/>
              </w:rPr>
              <w:t>Наименование х/с</w:t>
            </w:r>
          </w:p>
        </w:tc>
        <w:tc>
          <w:tcPr>
            <w:tcW w:w="1252" w:type="dxa"/>
            <w:tcBorders>
              <w:top w:val="single" w:sz="8" w:space="0" w:color="auto"/>
              <w:left w:val="nil"/>
              <w:bottom w:val="single" w:sz="4" w:space="0" w:color="auto"/>
              <w:right w:val="single" w:sz="8" w:space="0" w:color="000000"/>
            </w:tcBorders>
            <w:shd w:val="clear" w:color="auto" w:fill="F7CAAC"/>
            <w:noWrap/>
            <w:vAlign w:val="bottom"/>
            <w:hideMark/>
          </w:tcPr>
          <w:p w14:paraId="79B488B8" w14:textId="77777777" w:rsidR="00387F61" w:rsidRPr="00CE567D" w:rsidRDefault="00387F61" w:rsidP="00CA403B">
            <w:pPr>
              <w:spacing w:line="247" w:lineRule="auto"/>
              <w:jc w:val="center"/>
              <w:rPr>
                <w:b/>
                <w:sz w:val="27"/>
                <w:szCs w:val="27"/>
              </w:rPr>
            </w:pPr>
            <w:r w:rsidRPr="00CE567D">
              <w:rPr>
                <w:b/>
                <w:sz w:val="27"/>
                <w:szCs w:val="27"/>
              </w:rPr>
              <w:t>2016, %</w:t>
            </w:r>
          </w:p>
        </w:tc>
        <w:tc>
          <w:tcPr>
            <w:tcW w:w="1300" w:type="dxa"/>
            <w:tcBorders>
              <w:top w:val="single" w:sz="8" w:space="0" w:color="auto"/>
              <w:left w:val="nil"/>
              <w:bottom w:val="single" w:sz="4" w:space="0" w:color="auto"/>
              <w:right w:val="single" w:sz="8" w:space="0" w:color="000000"/>
            </w:tcBorders>
            <w:shd w:val="clear" w:color="auto" w:fill="F7CAAC"/>
            <w:vAlign w:val="bottom"/>
          </w:tcPr>
          <w:p w14:paraId="1DEDF175" w14:textId="77777777" w:rsidR="00387F61" w:rsidRPr="00CE567D" w:rsidRDefault="00387F61" w:rsidP="00CA403B">
            <w:pPr>
              <w:spacing w:line="247" w:lineRule="auto"/>
              <w:jc w:val="center"/>
              <w:rPr>
                <w:b/>
                <w:sz w:val="27"/>
                <w:szCs w:val="27"/>
              </w:rPr>
            </w:pPr>
            <w:r w:rsidRPr="00CE567D">
              <w:rPr>
                <w:b/>
                <w:sz w:val="27"/>
                <w:szCs w:val="27"/>
              </w:rPr>
              <w:t>2017, %</w:t>
            </w:r>
          </w:p>
        </w:tc>
      </w:tr>
      <w:tr w:rsidR="00FB2C6D" w:rsidRPr="00766DD9" w14:paraId="58B47254" w14:textId="77777777" w:rsidTr="00CE567D">
        <w:trPr>
          <w:trHeight w:val="285"/>
        </w:trPr>
        <w:tc>
          <w:tcPr>
            <w:tcW w:w="7371" w:type="dxa"/>
            <w:tcBorders>
              <w:top w:val="single" w:sz="8" w:space="0" w:color="auto"/>
              <w:left w:val="single" w:sz="8" w:space="0" w:color="auto"/>
              <w:bottom w:val="single" w:sz="4" w:space="0" w:color="auto"/>
              <w:right w:val="nil"/>
            </w:tcBorders>
            <w:shd w:val="clear" w:color="auto" w:fill="auto"/>
            <w:noWrap/>
          </w:tcPr>
          <w:p w14:paraId="6EC87329" w14:textId="77777777" w:rsidR="00FB2C6D" w:rsidRPr="00387F61" w:rsidRDefault="00FB2C6D" w:rsidP="00FB2C6D">
            <w:pPr>
              <w:jc w:val="center"/>
              <w:textAlignment w:val="baseline"/>
              <w:rPr>
                <w:sz w:val="27"/>
                <w:szCs w:val="27"/>
              </w:rPr>
            </w:pPr>
            <w:r w:rsidRPr="00387F61">
              <w:rPr>
                <w:sz w:val="27"/>
                <w:szCs w:val="27"/>
              </w:rPr>
              <w:t>Группа «Армстронг»</w:t>
            </w:r>
          </w:p>
        </w:tc>
        <w:tc>
          <w:tcPr>
            <w:tcW w:w="125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1AF6D2C6" w14:textId="44648BE7" w:rsidR="00FB2C6D" w:rsidRPr="00387F61" w:rsidRDefault="00FB2C6D" w:rsidP="00FB2C6D">
            <w:pPr>
              <w:spacing w:line="247" w:lineRule="auto"/>
              <w:jc w:val="center"/>
              <w:rPr>
                <w:sz w:val="27"/>
                <w:szCs w:val="27"/>
              </w:rPr>
            </w:pPr>
            <w:r>
              <w:t>Менее 50</w:t>
            </w:r>
          </w:p>
        </w:tc>
        <w:tc>
          <w:tcPr>
            <w:tcW w:w="1300" w:type="dxa"/>
            <w:tcBorders>
              <w:top w:val="single" w:sz="8" w:space="0" w:color="auto"/>
              <w:left w:val="nil"/>
              <w:bottom w:val="single" w:sz="4" w:space="0" w:color="auto"/>
              <w:right w:val="single" w:sz="8" w:space="0" w:color="auto"/>
            </w:tcBorders>
            <w:shd w:val="clear" w:color="auto" w:fill="auto"/>
            <w:noWrap/>
            <w:vAlign w:val="center"/>
          </w:tcPr>
          <w:p w14:paraId="0A00B88B" w14:textId="22C61F22" w:rsidR="00FB2C6D" w:rsidRPr="00387F61" w:rsidRDefault="00FB2C6D" w:rsidP="00FB2C6D">
            <w:pPr>
              <w:spacing w:line="247" w:lineRule="auto"/>
              <w:jc w:val="center"/>
              <w:rPr>
                <w:sz w:val="27"/>
                <w:szCs w:val="27"/>
              </w:rPr>
            </w:pPr>
            <w:r>
              <w:t>Менее 50</w:t>
            </w:r>
          </w:p>
        </w:tc>
      </w:tr>
      <w:tr w:rsidR="00FB2C6D" w:rsidRPr="00766DD9" w14:paraId="49C1F563" w14:textId="77777777" w:rsidTr="00CE567D">
        <w:trPr>
          <w:trHeight w:val="315"/>
        </w:trPr>
        <w:tc>
          <w:tcPr>
            <w:tcW w:w="7371" w:type="dxa"/>
            <w:tcBorders>
              <w:top w:val="nil"/>
              <w:left w:val="single" w:sz="8" w:space="0" w:color="auto"/>
              <w:bottom w:val="single" w:sz="4" w:space="0" w:color="auto"/>
              <w:right w:val="nil"/>
            </w:tcBorders>
            <w:shd w:val="clear" w:color="auto" w:fill="auto"/>
            <w:noWrap/>
          </w:tcPr>
          <w:p w14:paraId="1D92E572" w14:textId="77777777" w:rsidR="00FB2C6D" w:rsidRPr="00387F61" w:rsidRDefault="00FB2C6D" w:rsidP="00FB2C6D">
            <w:pPr>
              <w:jc w:val="center"/>
              <w:textAlignment w:val="baseline"/>
              <w:rPr>
                <w:sz w:val="27"/>
                <w:szCs w:val="27"/>
              </w:rPr>
            </w:pPr>
            <w:r w:rsidRPr="00387F61">
              <w:rPr>
                <w:sz w:val="27"/>
                <w:szCs w:val="27"/>
              </w:rPr>
              <w:lastRenderedPageBreak/>
              <w:t>Группа «КНАУФ»</w:t>
            </w:r>
          </w:p>
        </w:tc>
        <w:tc>
          <w:tcPr>
            <w:tcW w:w="1252" w:type="dxa"/>
            <w:tcBorders>
              <w:top w:val="nil"/>
              <w:left w:val="single" w:sz="8" w:space="0" w:color="auto"/>
              <w:bottom w:val="single" w:sz="4" w:space="0" w:color="auto"/>
              <w:right w:val="single" w:sz="4" w:space="0" w:color="auto"/>
            </w:tcBorders>
            <w:shd w:val="clear" w:color="auto" w:fill="auto"/>
            <w:noWrap/>
            <w:vAlign w:val="center"/>
          </w:tcPr>
          <w:p w14:paraId="27791398" w14:textId="05257548" w:rsidR="00FB2C6D" w:rsidRPr="00387F61" w:rsidRDefault="00FB2C6D" w:rsidP="00FB2C6D">
            <w:pPr>
              <w:spacing w:line="247" w:lineRule="auto"/>
              <w:jc w:val="center"/>
              <w:rPr>
                <w:sz w:val="27"/>
                <w:szCs w:val="27"/>
              </w:rPr>
            </w:pPr>
            <w:r>
              <w:t>Менее 50</w:t>
            </w:r>
          </w:p>
        </w:tc>
        <w:tc>
          <w:tcPr>
            <w:tcW w:w="1300" w:type="dxa"/>
            <w:tcBorders>
              <w:top w:val="nil"/>
              <w:left w:val="nil"/>
              <w:bottom w:val="single" w:sz="4" w:space="0" w:color="auto"/>
              <w:right w:val="single" w:sz="8" w:space="0" w:color="auto"/>
            </w:tcBorders>
            <w:shd w:val="clear" w:color="auto" w:fill="auto"/>
            <w:noWrap/>
            <w:vAlign w:val="center"/>
          </w:tcPr>
          <w:p w14:paraId="6AF16524" w14:textId="7F9B5E91" w:rsidR="00FB2C6D" w:rsidRPr="00387F61" w:rsidRDefault="00FB2C6D" w:rsidP="00FB2C6D">
            <w:pPr>
              <w:spacing w:line="247" w:lineRule="auto"/>
              <w:jc w:val="center"/>
              <w:rPr>
                <w:sz w:val="27"/>
                <w:szCs w:val="27"/>
              </w:rPr>
            </w:pPr>
            <w:r>
              <w:t>Менее 50</w:t>
            </w:r>
          </w:p>
        </w:tc>
      </w:tr>
      <w:tr w:rsidR="00FB2C6D" w:rsidRPr="00766DD9" w14:paraId="3DEE2491" w14:textId="77777777" w:rsidTr="00CE567D">
        <w:trPr>
          <w:trHeight w:val="315"/>
        </w:trPr>
        <w:tc>
          <w:tcPr>
            <w:tcW w:w="7371" w:type="dxa"/>
            <w:tcBorders>
              <w:top w:val="single" w:sz="4" w:space="0" w:color="auto"/>
              <w:left w:val="single" w:sz="8" w:space="0" w:color="auto"/>
              <w:bottom w:val="single" w:sz="4" w:space="0" w:color="auto"/>
              <w:right w:val="nil"/>
            </w:tcBorders>
            <w:shd w:val="clear" w:color="auto" w:fill="auto"/>
            <w:noWrap/>
            <w:vAlign w:val="bottom"/>
          </w:tcPr>
          <w:p w14:paraId="30EFB29A" w14:textId="2DA326EE" w:rsidR="00FB2C6D" w:rsidRPr="00387F61" w:rsidRDefault="00FB2C6D" w:rsidP="00FB2C6D">
            <w:pPr>
              <w:spacing w:line="247" w:lineRule="auto"/>
              <w:rPr>
                <w:sz w:val="27"/>
                <w:szCs w:val="27"/>
              </w:rPr>
            </w:pPr>
            <w:r w:rsidRPr="00387F61">
              <w:rPr>
                <w:sz w:val="27"/>
                <w:szCs w:val="27"/>
              </w:rPr>
              <w:t xml:space="preserve">Совокупная доля </w:t>
            </w:r>
            <w:r>
              <w:rPr>
                <w:sz w:val="27"/>
                <w:szCs w:val="27"/>
              </w:rPr>
              <w:t>г</w:t>
            </w:r>
            <w:r w:rsidRPr="00387F61">
              <w:rPr>
                <w:sz w:val="27"/>
                <w:szCs w:val="27"/>
              </w:rPr>
              <w:t>руппы «КНАУФ» после совершения предполагаемой Сделки</w:t>
            </w:r>
          </w:p>
        </w:tc>
        <w:tc>
          <w:tcPr>
            <w:tcW w:w="125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6A39D67" w14:textId="7EB510FA" w:rsidR="00FB2C6D" w:rsidRPr="00387F61" w:rsidRDefault="00FB2C6D" w:rsidP="00FB2C6D">
            <w:pPr>
              <w:spacing w:line="247" w:lineRule="auto"/>
              <w:jc w:val="center"/>
              <w:rPr>
                <w:sz w:val="27"/>
                <w:szCs w:val="27"/>
              </w:rPr>
            </w:pPr>
            <w:r>
              <w:t>Менее 50</w:t>
            </w:r>
          </w:p>
        </w:tc>
        <w:tc>
          <w:tcPr>
            <w:tcW w:w="1300" w:type="dxa"/>
            <w:tcBorders>
              <w:top w:val="single" w:sz="4" w:space="0" w:color="auto"/>
              <w:left w:val="nil"/>
              <w:bottom w:val="single" w:sz="4" w:space="0" w:color="auto"/>
              <w:right w:val="single" w:sz="8" w:space="0" w:color="auto"/>
            </w:tcBorders>
            <w:shd w:val="clear" w:color="auto" w:fill="auto"/>
            <w:noWrap/>
            <w:vAlign w:val="center"/>
          </w:tcPr>
          <w:p w14:paraId="7DDA61FD" w14:textId="72092744" w:rsidR="00FB2C6D" w:rsidRPr="00387F61" w:rsidRDefault="00FB2C6D" w:rsidP="00FB2C6D">
            <w:pPr>
              <w:spacing w:line="247" w:lineRule="auto"/>
              <w:jc w:val="center"/>
              <w:rPr>
                <w:sz w:val="27"/>
                <w:szCs w:val="27"/>
              </w:rPr>
            </w:pPr>
            <w:r>
              <w:t>Менее 50</w:t>
            </w:r>
          </w:p>
        </w:tc>
      </w:tr>
    </w:tbl>
    <w:p w14:paraId="73FD99AD" w14:textId="77777777" w:rsidR="00387F61" w:rsidRDefault="00387F61" w:rsidP="00387F61">
      <w:pPr>
        <w:pStyle w:val="20"/>
        <w:widowControl/>
        <w:ind w:left="709"/>
        <w:jc w:val="both"/>
        <w:rPr>
          <w:rFonts w:ascii="Times New Roman" w:hAnsi="Times New Roman"/>
          <w:sz w:val="28"/>
          <w:szCs w:val="28"/>
        </w:rPr>
      </w:pPr>
    </w:p>
    <w:p w14:paraId="62FD7B3B" w14:textId="77777777" w:rsidR="00216C65" w:rsidRDefault="00D7041C" w:rsidP="00315BD1">
      <w:pPr>
        <w:autoSpaceDE w:val="0"/>
        <w:autoSpaceDN w:val="0"/>
        <w:adjustRightInd w:val="0"/>
        <w:ind w:firstLine="709"/>
        <w:jc w:val="both"/>
        <w:rPr>
          <w:sz w:val="28"/>
          <w:szCs w:val="28"/>
        </w:rPr>
      </w:pPr>
      <w:r>
        <w:rPr>
          <w:sz w:val="28"/>
          <w:szCs w:val="28"/>
        </w:rPr>
        <w:t>Исходя из данных, приведенных в Таблице 2</w:t>
      </w:r>
      <w:r w:rsidR="00216C65">
        <w:rPr>
          <w:sz w:val="28"/>
          <w:szCs w:val="28"/>
        </w:rPr>
        <w:t>, предполагаемая сделка не приведет к возникновению доминирующего положения Группы «КНАУФ» на рынке подвесных потолочных конструкций в границах Российской Федерации.</w:t>
      </w:r>
    </w:p>
    <w:p w14:paraId="316D6A2A" w14:textId="33A2411D" w:rsidR="00130F87" w:rsidRDefault="00D7041C" w:rsidP="00315BD1">
      <w:pPr>
        <w:autoSpaceDE w:val="0"/>
        <w:autoSpaceDN w:val="0"/>
        <w:adjustRightInd w:val="0"/>
        <w:ind w:firstLine="709"/>
        <w:jc w:val="both"/>
        <w:rPr>
          <w:sz w:val="28"/>
          <w:szCs w:val="28"/>
        </w:rPr>
      </w:pPr>
      <w:r>
        <w:rPr>
          <w:sz w:val="28"/>
          <w:szCs w:val="28"/>
        </w:rPr>
        <w:t>Кроме того, согласно информации, представленной участниками рынка, фактором обуславливающим наличие конкуренции является импортная, более дешевая, продукция поставляемая из Китая.</w:t>
      </w:r>
      <w:r w:rsidR="00021D13">
        <w:rPr>
          <w:sz w:val="28"/>
          <w:szCs w:val="28"/>
        </w:rPr>
        <w:t xml:space="preserve"> </w:t>
      </w:r>
    </w:p>
    <w:p w14:paraId="4D8E9E08" w14:textId="77777777" w:rsidR="0033001A" w:rsidRPr="00457B9F" w:rsidRDefault="00021D13" w:rsidP="00315BD1">
      <w:pPr>
        <w:autoSpaceDE w:val="0"/>
        <w:autoSpaceDN w:val="0"/>
        <w:adjustRightInd w:val="0"/>
        <w:ind w:firstLine="709"/>
        <w:jc w:val="both"/>
        <w:rPr>
          <w:sz w:val="28"/>
          <w:szCs w:val="28"/>
        </w:rPr>
      </w:pPr>
      <w:r>
        <w:rPr>
          <w:sz w:val="28"/>
          <w:szCs w:val="28"/>
        </w:rPr>
        <w:t xml:space="preserve">Таким образом ни один из </w:t>
      </w:r>
      <w:r w:rsidR="0033001A" w:rsidRPr="00457B9F">
        <w:rPr>
          <w:sz w:val="28"/>
          <w:szCs w:val="28"/>
        </w:rPr>
        <w:t>хозяйствующи</w:t>
      </w:r>
      <w:r>
        <w:rPr>
          <w:sz w:val="28"/>
          <w:szCs w:val="28"/>
        </w:rPr>
        <w:t>х</w:t>
      </w:r>
      <w:r w:rsidR="0033001A" w:rsidRPr="00457B9F">
        <w:rPr>
          <w:sz w:val="28"/>
          <w:szCs w:val="28"/>
        </w:rPr>
        <w:t xml:space="preserve"> субъект</w:t>
      </w:r>
      <w:r>
        <w:rPr>
          <w:sz w:val="28"/>
          <w:szCs w:val="28"/>
        </w:rPr>
        <w:t>ов</w:t>
      </w:r>
      <w:r w:rsidR="0033001A" w:rsidRPr="00457B9F">
        <w:rPr>
          <w:sz w:val="28"/>
          <w:szCs w:val="28"/>
        </w:rPr>
        <w:t>, осуществляющи</w:t>
      </w:r>
      <w:r>
        <w:rPr>
          <w:sz w:val="28"/>
          <w:szCs w:val="28"/>
        </w:rPr>
        <w:t>х</w:t>
      </w:r>
      <w:r w:rsidR="0033001A" w:rsidRPr="00457B9F">
        <w:rPr>
          <w:sz w:val="28"/>
          <w:szCs w:val="28"/>
        </w:rPr>
        <w:t xml:space="preserve"> свою деятельность на рынке</w:t>
      </w:r>
      <w:r w:rsidR="00457B9F" w:rsidRPr="00457B9F">
        <w:rPr>
          <w:sz w:val="28"/>
          <w:szCs w:val="28"/>
        </w:rPr>
        <w:t xml:space="preserve"> </w:t>
      </w:r>
      <w:r w:rsidR="00457B9F" w:rsidRPr="00457B9F">
        <w:rPr>
          <w:bCs/>
          <w:sz w:val="28"/>
          <w:szCs w:val="27"/>
        </w:rPr>
        <w:t>подвесных потолочных конструкций</w:t>
      </w:r>
      <w:r w:rsidR="0033001A" w:rsidRPr="00457B9F">
        <w:rPr>
          <w:sz w:val="28"/>
          <w:szCs w:val="28"/>
        </w:rPr>
        <w:t>, не име</w:t>
      </w:r>
      <w:r>
        <w:rPr>
          <w:sz w:val="28"/>
          <w:szCs w:val="28"/>
        </w:rPr>
        <w:t>е</w:t>
      </w:r>
      <w:r w:rsidR="0033001A" w:rsidRPr="00457B9F">
        <w:rPr>
          <w:sz w:val="28"/>
          <w:szCs w:val="28"/>
        </w:rPr>
        <w:t>т возможности оказывать решающее влияние на общие ус</w:t>
      </w:r>
      <w:r>
        <w:rPr>
          <w:sz w:val="28"/>
          <w:szCs w:val="28"/>
        </w:rPr>
        <w:t>ловия обращения товара на рынке.</w:t>
      </w:r>
    </w:p>
    <w:p w14:paraId="73516B66" w14:textId="77777777" w:rsidR="00CA403B" w:rsidRPr="00FC489D" w:rsidRDefault="0033001A" w:rsidP="00FC489D">
      <w:pPr>
        <w:pStyle w:val="1"/>
        <w:jc w:val="center"/>
        <w:rPr>
          <w:b/>
          <w:color w:val="auto"/>
          <w:sz w:val="36"/>
        </w:rPr>
      </w:pPr>
      <w:bookmarkStart w:id="20" w:name="_Toc517465194"/>
      <w:bookmarkStart w:id="21" w:name="_Toc522004036"/>
      <w:r w:rsidRPr="00647628">
        <w:rPr>
          <w:rFonts w:ascii="Times New Roman" w:hAnsi="Times New Roman" w:cs="Times New Roman"/>
          <w:b/>
          <w:color w:val="auto"/>
          <w:lang w:val="en-US"/>
        </w:rPr>
        <w:t>X</w:t>
      </w:r>
      <w:r w:rsidRPr="00647628">
        <w:rPr>
          <w:rFonts w:ascii="Times New Roman" w:hAnsi="Times New Roman" w:cs="Times New Roman"/>
          <w:b/>
          <w:color w:val="auto"/>
        </w:rPr>
        <w:t>.</w:t>
      </w:r>
      <w:r w:rsidRPr="00CE567D">
        <w:rPr>
          <w:rFonts w:ascii="Times New Roman" w:hAnsi="Times New Roman" w:cs="Times New Roman"/>
          <w:b/>
          <w:color w:val="auto"/>
          <w:sz w:val="36"/>
        </w:rPr>
        <w:t xml:space="preserve"> </w:t>
      </w:r>
      <w:r w:rsidR="004B705C" w:rsidRPr="00CE567D">
        <w:rPr>
          <w:rFonts w:ascii="Times New Roman" w:hAnsi="Times New Roman" w:cs="Times New Roman"/>
          <w:b/>
          <w:color w:val="auto"/>
          <w:sz w:val="36"/>
        </w:rPr>
        <w:t>О</w:t>
      </w:r>
      <w:r w:rsidR="0054305D" w:rsidRPr="00CE567D">
        <w:rPr>
          <w:rFonts w:ascii="Times New Roman" w:hAnsi="Times New Roman" w:cs="Times New Roman"/>
          <w:b/>
          <w:color w:val="auto"/>
          <w:sz w:val="36"/>
        </w:rPr>
        <w:t>ценка состояния конкуренции на товарном рынке</w:t>
      </w:r>
      <w:bookmarkEnd w:id="20"/>
      <w:bookmarkEnd w:id="21"/>
    </w:p>
    <w:p w14:paraId="159227BC" w14:textId="77777777" w:rsidR="00CA403B" w:rsidRDefault="00CA403B" w:rsidP="00315BD1">
      <w:pPr>
        <w:ind w:firstLine="709"/>
        <w:jc w:val="both"/>
        <w:rPr>
          <w:sz w:val="28"/>
          <w:szCs w:val="28"/>
        </w:rPr>
      </w:pPr>
    </w:p>
    <w:p w14:paraId="230B1E8E" w14:textId="77777777" w:rsidR="00CA403B" w:rsidRPr="00EF7C7E" w:rsidRDefault="00CA403B" w:rsidP="00315BD1">
      <w:pPr>
        <w:ind w:firstLine="709"/>
        <w:jc w:val="both"/>
        <w:rPr>
          <w:sz w:val="28"/>
        </w:rPr>
      </w:pPr>
      <w:bookmarkStart w:id="22" w:name="_Toc517465195"/>
      <w:r w:rsidRPr="00EF7C7E">
        <w:rPr>
          <w:sz w:val="28"/>
        </w:rPr>
        <w:t>Заключение о том, к какому виду рынков относится рассматриваемый товарный рынок, дается на основании показателей уровня концентрации товарного рынка, наличия и преодолимости барьеров входа на товарный рынок, а также интенсивности входа на рынок новых участников, информации об ограничениях импорта товара.</w:t>
      </w:r>
    </w:p>
    <w:p w14:paraId="7C9FFD75" w14:textId="77777777" w:rsidR="00CA403B" w:rsidRPr="00EF7C7E" w:rsidRDefault="00CA403B" w:rsidP="00315BD1">
      <w:pPr>
        <w:autoSpaceDE w:val="0"/>
        <w:autoSpaceDN w:val="0"/>
        <w:adjustRightInd w:val="0"/>
        <w:ind w:firstLine="709"/>
        <w:jc w:val="both"/>
        <w:rPr>
          <w:sz w:val="28"/>
          <w:szCs w:val="28"/>
        </w:rPr>
      </w:pPr>
      <w:r w:rsidRPr="00EF7C7E">
        <w:rPr>
          <w:sz w:val="28"/>
          <w:szCs w:val="28"/>
        </w:rPr>
        <w:t xml:space="preserve">Сводные результаты оценки конкуренции, а также сопоставление и анализ количественных и качественных показателей, характеризующих рынок </w:t>
      </w:r>
      <w:r>
        <w:rPr>
          <w:sz w:val="28"/>
        </w:rPr>
        <w:t>подвесных потолочных конструкций</w:t>
      </w:r>
      <w:r w:rsidRPr="00EF7C7E">
        <w:rPr>
          <w:sz w:val="28"/>
          <w:szCs w:val="28"/>
        </w:rPr>
        <w:t>, позволяют сделать следующие выводы:</w:t>
      </w:r>
    </w:p>
    <w:p w14:paraId="20CB6379" w14:textId="77777777" w:rsidR="00CA403B" w:rsidRPr="00EF7C7E" w:rsidRDefault="00CA403B" w:rsidP="00315BD1">
      <w:pPr>
        <w:numPr>
          <w:ilvl w:val="0"/>
          <w:numId w:val="24"/>
        </w:numPr>
        <w:autoSpaceDE w:val="0"/>
        <w:autoSpaceDN w:val="0"/>
        <w:adjustRightInd w:val="0"/>
        <w:ind w:left="0" w:firstLine="709"/>
        <w:jc w:val="both"/>
        <w:rPr>
          <w:sz w:val="28"/>
          <w:szCs w:val="28"/>
        </w:rPr>
      </w:pPr>
      <w:r w:rsidRPr="00EF7C7E">
        <w:rPr>
          <w:sz w:val="28"/>
          <w:szCs w:val="28"/>
        </w:rPr>
        <w:t>Рассматриваемы</w:t>
      </w:r>
      <w:r>
        <w:rPr>
          <w:sz w:val="28"/>
          <w:szCs w:val="28"/>
        </w:rPr>
        <w:t>й рынок</w:t>
      </w:r>
      <w:r w:rsidRPr="00EF7C7E">
        <w:rPr>
          <w:sz w:val="28"/>
          <w:szCs w:val="28"/>
        </w:rPr>
        <w:t xml:space="preserve"> </w:t>
      </w:r>
      <w:r>
        <w:rPr>
          <w:sz w:val="28"/>
        </w:rPr>
        <w:t>подвесных потолочных</w:t>
      </w:r>
      <w:r w:rsidRPr="00EF7C7E">
        <w:rPr>
          <w:sz w:val="28"/>
          <w:szCs w:val="28"/>
        </w:rPr>
        <w:t xml:space="preserve"> конструкций относ</w:t>
      </w:r>
      <w:r>
        <w:rPr>
          <w:sz w:val="28"/>
          <w:szCs w:val="28"/>
        </w:rPr>
        <w:t>и</w:t>
      </w:r>
      <w:r w:rsidRPr="00EF7C7E">
        <w:rPr>
          <w:sz w:val="28"/>
          <w:szCs w:val="28"/>
        </w:rPr>
        <w:t>тся к высококонцентрированным.</w:t>
      </w:r>
    </w:p>
    <w:p w14:paraId="35B3D713" w14:textId="77777777" w:rsidR="00CA403B" w:rsidRDefault="00CA403B" w:rsidP="00315BD1">
      <w:pPr>
        <w:numPr>
          <w:ilvl w:val="0"/>
          <w:numId w:val="24"/>
        </w:numPr>
        <w:autoSpaceDE w:val="0"/>
        <w:autoSpaceDN w:val="0"/>
        <w:adjustRightInd w:val="0"/>
        <w:ind w:left="0" w:firstLine="709"/>
        <w:jc w:val="both"/>
        <w:rPr>
          <w:sz w:val="28"/>
          <w:szCs w:val="28"/>
        </w:rPr>
      </w:pPr>
      <w:r>
        <w:rPr>
          <w:sz w:val="28"/>
          <w:szCs w:val="28"/>
        </w:rPr>
        <w:t>Рынок</w:t>
      </w:r>
      <w:r w:rsidRPr="00EF7C7E">
        <w:rPr>
          <w:sz w:val="28"/>
          <w:szCs w:val="28"/>
        </w:rPr>
        <w:t>, в зависимости от субъектного состава, характеризу</w:t>
      </w:r>
      <w:r>
        <w:rPr>
          <w:sz w:val="28"/>
          <w:szCs w:val="28"/>
        </w:rPr>
        <w:t>е</w:t>
      </w:r>
      <w:r w:rsidRPr="00EF7C7E">
        <w:rPr>
          <w:sz w:val="28"/>
          <w:szCs w:val="28"/>
        </w:rPr>
        <w:t xml:space="preserve">тся различными уровнями преодолимости барьеров. Для потенциальных участников, с полным циклом производства продукции, характерны значительные экономические ограничения в виде крупных первоначальных инвестиций, а также высокой стоимости привлечения финансовых ресурсов. Вместе с этим, как для потенциальных производителей </w:t>
      </w:r>
      <w:r>
        <w:rPr>
          <w:sz w:val="28"/>
          <w:szCs w:val="28"/>
        </w:rPr>
        <w:t>подвесных потолочных конструкций</w:t>
      </w:r>
      <w:r w:rsidRPr="00EF7C7E">
        <w:rPr>
          <w:sz w:val="28"/>
          <w:szCs w:val="28"/>
        </w:rPr>
        <w:t xml:space="preserve"> полного цикла, так и для потенциальных </w:t>
      </w:r>
      <w:r>
        <w:rPr>
          <w:sz w:val="28"/>
          <w:szCs w:val="28"/>
        </w:rPr>
        <w:t>импортеров</w:t>
      </w:r>
      <w:r w:rsidRPr="00EF7C7E">
        <w:rPr>
          <w:sz w:val="28"/>
          <w:szCs w:val="28"/>
        </w:rPr>
        <w:t>, существенным барьерами входа являются наличие устоявшихся хозяйственных связей между участниками, а также налаженных схем сбыта через дистрибьюторские (дилерские) сети.</w:t>
      </w:r>
    </w:p>
    <w:p w14:paraId="1ACDBF81" w14:textId="77777777" w:rsidR="00CA403B" w:rsidRPr="00CE567D" w:rsidRDefault="00CA403B" w:rsidP="00CE567D">
      <w:pPr>
        <w:pStyle w:val="af2"/>
        <w:numPr>
          <w:ilvl w:val="0"/>
          <w:numId w:val="24"/>
        </w:numPr>
        <w:ind w:left="0" w:firstLine="851"/>
        <w:jc w:val="both"/>
        <w:rPr>
          <w:sz w:val="28"/>
          <w:szCs w:val="28"/>
        </w:rPr>
      </w:pPr>
      <w:r w:rsidRPr="00CE567D">
        <w:rPr>
          <w:sz w:val="28"/>
          <w:szCs w:val="28"/>
        </w:rPr>
        <w:t>Изменения коэффициента рыночной концентрации и индекса рыночной концентрации Герфиндаля-Гиршмана ориентировочно составят (таблица 3):</w:t>
      </w:r>
    </w:p>
    <w:p w14:paraId="62386E8F" w14:textId="77777777" w:rsidR="00315BD1" w:rsidRDefault="00315BD1" w:rsidP="00315BD1">
      <w:pPr>
        <w:autoSpaceDE w:val="0"/>
        <w:autoSpaceDN w:val="0"/>
        <w:adjustRightInd w:val="0"/>
        <w:ind w:firstLine="709"/>
        <w:jc w:val="both"/>
        <w:rPr>
          <w:sz w:val="28"/>
          <w:szCs w:val="28"/>
        </w:rPr>
      </w:pPr>
    </w:p>
    <w:p w14:paraId="29F654B8" w14:textId="77777777" w:rsidR="00CA403B" w:rsidRPr="00315BD1" w:rsidRDefault="00CA403B" w:rsidP="00CA403B">
      <w:pPr>
        <w:pStyle w:val="af1"/>
        <w:keepNext/>
        <w:jc w:val="right"/>
        <w:rPr>
          <w:sz w:val="24"/>
        </w:rPr>
      </w:pPr>
      <w:r w:rsidRPr="00315BD1">
        <w:rPr>
          <w:sz w:val="24"/>
        </w:rPr>
        <w:t>Таблица 3</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586"/>
        <w:gridCol w:w="4651"/>
      </w:tblGrid>
      <w:tr w:rsidR="004F707E" w:rsidRPr="00AC0F1A" w14:paraId="5F413A20" w14:textId="77777777" w:rsidTr="00CE567D">
        <w:trPr>
          <w:trHeight w:val="984"/>
        </w:trPr>
        <w:tc>
          <w:tcPr>
            <w:tcW w:w="3686" w:type="dxa"/>
            <w:shd w:val="clear" w:color="auto" w:fill="D9E2F3"/>
          </w:tcPr>
          <w:p w14:paraId="6A1CD87B" w14:textId="77777777" w:rsidR="004F707E" w:rsidRPr="00AC0F1A" w:rsidRDefault="004F707E" w:rsidP="00CA403B">
            <w:pPr>
              <w:jc w:val="center"/>
              <w:rPr>
                <w:b/>
                <w:sz w:val="23"/>
                <w:szCs w:val="23"/>
              </w:rPr>
            </w:pPr>
            <w:r w:rsidRPr="00AC0F1A">
              <w:rPr>
                <w:b/>
                <w:sz w:val="23"/>
                <w:szCs w:val="23"/>
              </w:rPr>
              <w:t>Событие на товарном рынке</w:t>
            </w:r>
          </w:p>
        </w:tc>
        <w:tc>
          <w:tcPr>
            <w:tcW w:w="1586" w:type="dxa"/>
            <w:shd w:val="clear" w:color="auto" w:fill="D9E2F3"/>
          </w:tcPr>
          <w:p w14:paraId="6FA9C504" w14:textId="77777777" w:rsidR="004F707E" w:rsidRPr="00AC0F1A" w:rsidRDefault="004F707E" w:rsidP="00CA403B">
            <w:pPr>
              <w:jc w:val="center"/>
              <w:rPr>
                <w:b/>
                <w:sz w:val="23"/>
                <w:szCs w:val="23"/>
              </w:rPr>
            </w:pPr>
            <w:r w:rsidRPr="00AC0F1A">
              <w:rPr>
                <w:b/>
                <w:sz w:val="23"/>
                <w:szCs w:val="23"/>
              </w:rPr>
              <w:t>Год</w:t>
            </w:r>
          </w:p>
        </w:tc>
        <w:tc>
          <w:tcPr>
            <w:tcW w:w="4651" w:type="dxa"/>
            <w:shd w:val="clear" w:color="auto" w:fill="BDD6EE" w:themeFill="accent1" w:themeFillTint="66"/>
          </w:tcPr>
          <w:p w14:paraId="5EF81E97" w14:textId="77777777" w:rsidR="004F707E" w:rsidRPr="004F707E" w:rsidRDefault="004F707E" w:rsidP="00CA403B">
            <w:pPr>
              <w:jc w:val="center"/>
              <w:rPr>
                <w:b/>
                <w:sz w:val="23"/>
                <w:szCs w:val="23"/>
              </w:rPr>
            </w:pPr>
            <w:r>
              <w:rPr>
                <w:b/>
                <w:sz w:val="23"/>
                <w:szCs w:val="23"/>
              </w:rPr>
              <w:t>Подвесные потолочные конструкции</w:t>
            </w:r>
          </w:p>
          <w:p w14:paraId="6FBA75AC" w14:textId="77777777" w:rsidR="004F707E" w:rsidRPr="00AC0F1A" w:rsidRDefault="004F707E" w:rsidP="00CA403B">
            <w:pPr>
              <w:jc w:val="center"/>
              <w:rPr>
                <w:b/>
                <w:sz w:val="23"/>
                <w:szCs w:val="23"/>
              </w:rPr>
            </w:pPr>
            <w:r>
              <w:rPr>
                <w:b/>
                <w:sz w:val="23"/>
                <w:szCs w:val="23"/>
              </w:rPr>
              <w:t>в границах Российской Федерации</w:t>
            </w:r>
          </w:p>
        </w:tc>
      </w:tr>
      <w:tr w:rsidR="00CA403B" w:rsidRPr="00667E90" w14:paraId="0D02B24B" w14:textId="77777777" w:rsidTr="00CE567D">
        <w:trPr>
          <w:trHeight w:val="500"/>
        </w:trPr>
        <w:tc>
          <w:tcPr>
            <w:tcW w:w="3686" w:type="dxa"/>
            <w:shd w:val="clear" w:color="auto" w:fill="F7CAAC"/>
          </w:tcPr>
          <w:p w14:paraId="645FB42A" w14:textId="77777777" w:rsidR="00CA403B" w:rsidRPr="00AC0F1A" w:rsidRDefault="00CA403B" w:rsidP="00CA403B">
            <w:pPr>
              <w:jc w:val="center"/>
              <w:rPr>
                <w:b/>
                <w:sz w:val="23"/>
                <w:szCs w:val="23"/>
              </w:rPr>
            </w:pPr>
            <w:r w:rsidRPr="00AC0F1A">
              <w:rPr>
                <w:b/>
                <w:sz w:val="23"/>
                <w:szCs w:val="23"/>
              </w:rPr>
              <w:t>До сделки</w:t>
            </w:r>
          </w:p>
        </w:tc>
        <w:tc>
          <w:tcPr>
            <w:tcW w:w="1586" w:type="dxa"/>
            <w:vMerge w:val="restart"/>
            <w:shd w:val="clear" w:color="auto" w:fill="auto"/>
          </w:tcPr>
          <w:p w14:paraId="468FA798" w14:textId="77777777" w:rsidR="00CA403B" w:rsidRPr="00667E90" w:rsidRDefault="00CA403B" w:rsidP="00CA403B"/>
          <w:p w14:paraId="101D411F" w14:textId="77777777" w:rsidR="00CA403B" w:rsidRPr="00667E90" w:rsidRDefault="00CA403B" w:rsidP="00CA403B">
            <w:r w:rsidRPr="00AC0F1A">
              <w:rPr>
                <w:lang w:val="en-US"/>
              </w:rPr>
              <w:t xml:space="preserve"> </w:t>
            </w:r>
            <w:r>
              <w:t xml:space="preserve">   </w:t>
            </w:r>
            <w:r w:rsidRPr="00667E90">
              <w:t>201</w:t>
            </w:r>
            <w:r>
              <w:t>6</w:t>
            </w:r>
          </w:p>
        </w:tc>
        <w:tc>
          <w:tcPr>
            <w:tcW w:w="4651" w:type="dxa"/>
            <w:shd w:val="clear" w:color="auto" w:fill="auto"/>
          </w:tcPr>
          <w:p w14:paraId="4D580001" w14:textId="77777777" w:rsidR="00CA403B" w:rsidRPr="00EF7C7E" w:rsidRDefault="00CA403B" w:rsidP="00CA403B">
            <w:pPr>
              <w:jc w:val="center"/>
              <w:rPr>
                <w:u w:val="single"/>
              </w:rPr>
            </w:pPr>
            <w:r>
              <w:rPr>
                <w:u w:val="single"/>
              </w:rPr>
              <w:t>Умеренно</w:t>
            </w:r>
            <w:r w:rsidRPr="00EF7C7E">
              <w:rPr>
                <w:u w:val="single"/>
              </w:rPr>
              <w:t>концентрированный</w:t>
            </w:r>
          </w:p>
          <w:p w14:paraId="4404F39D" w14:textId="3A0C212F" w:rsidR="00CA403B" w:rsidRPr="00CE567D" w:rsidRDefault="00CA403B" w:rsidP="00F671E8">
            <w:pPr>
              <w:jc w:val="center"/>
              <w:rPr>
                <w:lang w:val="en-US"/>
              </w:rPr>
            </w:pPr>
            <w:r w:rsidRPr="00EF7C7E">
              <w:rPr>
                <w:lang w:val="en-US"/>
              </w:rPr>
              <w:t>CR-</w:t>
            </w:r>
            <w:r>
              <w:t>69,5</w:t>
            </w:r>
            <w:r w:rsidRPr="00EF7C7E">
              <w:rPr>
                <w:lang w:val="en-US"/>
              </w:rPr>
              <w:t xml:space="preserve">%; HHI - </w:t>
            </w:r>
            <w:r w:rsidR="00F01E34">
              <w:t>19</w:t>
            </w:r>
            <w:r w:rsidR="00F671E8">
              <w:rPr>
                <w:lang w:val="en-US"/>
              </w:rPr>
              <w:t>13</w:t>
            </w:r>
          </w:p>
        </w:tc>
      </w:tr>
      <w:tr w:rsidR="00CA403B" w:rsidRPr="00667E90" w14:paraId="25E04A61" w14:textId="77777777" w:rsidTr="00CE567D">
        <w:trPr>
          <w:trHeight w:val="69"/>
        </w:trPr>
        <w:tc>
          <w:tcPr>
            <w:tcW w:w="3686" w:type="dxa"/>
            <w:shd w:val="clear" w:color="auto" w:fill="F7CAAC"/>
          </w:tcPr>
          <w:p w14:paraId="3B7E9C12" w14:textId="77777777" w:rsidR="00CA403B" w:rsidRPr="00AC0F1A" w:rsidRDefault="00CA403B" w:rsidP="00CA403B">
            <w:pPr>
              <w:jc w:val="center"/>
              <w:rPr>
                <w:b/>
                <w:sz w:val="23"/>
                <w:szCs w:val="23"/>
              </w:rPr>
            </w:pPr>
            <w:r w:rsidRPr="00AC0F1A">
              <w:rPr>
                <w:b/>
                <w:sz w:val="23"/>
                <w:szCs w:val="23"/>
              </w:rPr>
              <w:lastRenderedPageBreak/>
              <w:t>После совершения сделки</w:t>
            </w:r>
          </w:p>
        </w:tc>
        <w:tc>
          <w:tcPr>
            <w:tcW w:w="1586" w:type="dxa"/>
            <w:vMerge/>
            <w:shd w:val="clear" w:color="auto" w:fill="auto"/>
          </w:tcPr>
          <w:p w14:paraId="03363A8E" w14:textId="77777777" w:rsidR="00CA403B" w:rsidRPr="00667E90" w:rsidRDefault="00CA403B" w:rsidP="00CA403B">
            <w:pPr>
              <w:jc w:val="center"/>
            </w:pPr>
          </w:p>
        </w:tc>
        <w:tc>
          <w:tcPr>
            <w:tcW w:w="4651" w:type="dxa"/>
            <w:shd w:val="clear" w:color="auto" w:fill="auto"/>
          </w:tcPr>
          <w:p w14:paraId="52710F29" w14:textId="77777777" w:rsidR="00CA403B" w:rsidRPr="00EF7C7E" w:rsidRDefault="00CA403B" w:rsidP="00CA403B">
            <w:pPr>
              <w:jc w:val="center"/>
            </w:pPr>
            <w:r w:rsidRPr="00EF7C7E">
              <w:t>Высококонцентрированный</w:t>
            </w:r>
          </w:p>
          <w:p w14:paraId="565F6CDD" w14:textId="7E61DFBD" w:rsidR="00CA403B" w:rsidRPr="00CE567D" w:rsidRDefault="00CA403B" w:rsidP="00F671E8">
            <w:pPr>
              <w:jc w:val="center"/>
              <w:rPr>
                <w:lang w:val="en-US"/>
              </w:rPr>
            </w:pPr>
            <w:r w:rsidRPr="00EF7C7E">
              <w:rPr>
                <w:lang w:val="en-US"/>
              </w:rPr>
              <w:t>CR-</w:t>
            </w:r>
            <w:r w:rsidR="004F707E">
              <w:t>70,8</w:t>
            </w:r>
            <w:r w:rsidRPr="00EF7C7E">
              <w:rPr>
                <w:lang w:val="en-US"/>
              </w:rPr>
              <w:t xml:space="preserve">%; HHI - </w:t>
            </w:r>
            <w:r w:rsidR="00F01E34">
              <w:t>20</w:t>
            </w:r>
            <w:r w:rsidR="00F671E8">
              <w:rPr>
                <w:lang w:val="en-US"/>
              </w:rPr>
              <w:t>05</w:t>
            </w:r>
          </w:p>
        </w:tc>
      </w:tr>
      <w:tr w:rsidR="00CA403B" w:rsidRPr="00AC0F1A" w14:paraId="06304C73" w14:textId="77777777" w:rsidTr="00CE567D">
        <w:trPr>
          <w:trHeight w:val="549"/>
        </w:trPr>
        <w:tc>
          <w:tcPr>
            <w:tcW w:w="5272" w:type="dxa"/>
            <w:gridSpan w:val="2"/>
            <w:shd w:val="clear" w:color="auto" w:fill="A8D08D"/>
          </w:tcPr>
          <w:p w14:paraId="28923AE4" w14:textId="77777777" w:rsidR="00CA403B" w:rsidRPr="00AC0F1A" w:rsidRDefault="00CA403B" w:rsidP="00CA403B">
            <w:pPr>
              <w:jc w:val="center"/>
              <w:rPr>
                <w:b/>
                <w:sz w:val="23"/>
                <w:szCs w:val="23"/>
              </w:rPr>
            </w:pPr>
            <w:r w:rsidRPr="00AC0F1A">
              <w:rPr>
                <w:b/>
                <w:sz w:val="23"/>
                <w:szCs w:val="23"/>
              </w:rPr>
              <w:t xml:space="preserve">Изменение индекса </w:t>
            </w:r>
            <w:r w:rsidRPr="00AC0F1A">
              <w:rPr>
                <w:b/>
                <w:sz w:val="23"/>
                <w:szCs w:val="23"/>
                <w:lang w:val="en-US"/>
              </w:rPr>
              <w:t>HHI</w:t>
            </w:r>
            <w:r w:rsidRPr="00AC0F1A">
              <w:rPr>
                <w:b/>
                <w:sz w:val="23"/>
                <w:szCs w:val="23"/>
              </w:rPr>
              <w:t xml:space="preserve"> в результате совершения сделки</w:t>
            </w:r>
          </w:p>
        </w:tc>
        <w:tc>
          <w:tcPr>
            <w:tcW w:w="4651" w:type="dxa"/>
            <w:shd w:val="clear" w:color="auto" w:fill="auto"/>
          </w:tcPr>
          <w:p w14:paraId="0CE9F387" w14:textId="0BD1436F" w:rsidR="00CA403B" w:rsidRPr="00EF7C7E" w:rsidRDefault="00CA403B">
            <w:pPr>
              <w:jc w:val="center"/>
              <w:rPr>
                <w:b/>
              </w:rPr>
            </w:pPr>
            <w:r w:rsidRPr="00EF7C7E">
              <w:rPr>
                <w:b/>
              </w:rPr>
              <w:t xml:space="preserve">Увеличение на </w:t>
            </w:r>
            <w:r w:rsidR="004F707E">
              <w:rPr>
                <w:b/>
              </w:rPr>
              <w:t xml:space="preserve">92 </w:t>
            </w:r>
            <w:r w:rsidRPr="00EF7C7E">
              <w:rPr>
                <w:b/>
              </w:rPr>
              <w:t>пункт</w:t>
            </w:r>
            <w:r w:rsidR="004F707E">
              <w:rPr>
                <w:b/>
              </w:rPr>
              <w:t>а</w:t>
            </w:r>
          </w:p>
        </w:tc>
      </w:tr>
      <w:tr w:rsidR="00CA403B" w:rsidRPr="00667E90" w14:paraId="5AEB017F" w14:textId="77777777" w:rsidTr="00CE567D">
        <w:trPr>
          <w:trHeight w:val="547"/>
        </w:trPr>
        <w:tc>
          <w:tcPr>
            <w:tcW w:w="3686" w:type="dxa"/>
            <w:shd w:val="clear" w:color="auto" w:fill="F7CAAC"/>
          </w:tcPr>
          <w:p w14:paraId="05F1996B" w14:textId="77777777" w:rsidR="00CA403B" w:rsidRPr="00AC0F1A" w:rsidRDefault="00CA403B" w:rsidP="00CA403B">
            <w:pPr>
              <w:jc w:val="center"/>
              <w:rPr>
                <w:b/>
                <w:sz w:val="23"/>
                <w:szCs w:val="23"/>
              </w:rPr>
            </w:pPr>
            <w:r w:rsidRPr="00AC0F1A">
              <w:rPr>
                <w:b/>
                <w:sz w:val="23"/>
                <w:szCs w:val="23"/>
              </w:rPr>
              <w:t>До сделки</w:t>
            </w:r>
          </w:p>
        </w:tc>
        <w:tc>
          <w:tcPr>
            <w:tcW w:w="1586" w:type="dxa"/>
            <w:vMerge w:val="restart"/>
            <w:shd w:val="clear" w:color="auto" w:fill="auto"/>
          </w:tcPr>
          <w:p w14:paraId="209755D8" w14:textId="77777777" w:rsidR="00CA403B" w:rsidRPr="00667E90" w:rsidRDefault="00CA403B" w:rsidP="00CA403B">
            <w:pPr>
              <w:jc w:val="center"/>
            </w:pPr>
          </w:p>
          <w:p w14:paraId="68C50D3E" w14:textId="77777777" w:rsidR="00CA403B" w:rsidRPr="00667E90" w:rsidRDefault="00CA403B" w:rsidP="00CA403B">
            <w:pPr>
              <w:jc w:val="center"/>
            </w:pPr>
            <w:r>
              <w:t>2017</w:t>
            </w:r>
          </w:p>
        </w:tc>
        <w:tc>
          <w:tcPr>
            <w:tcW w:w="4651" w:type="dxa"/>
            <w:shd w:val="clear" w:color="auto" w:fill="auto"/>
          </w:tcPr>
          <w:p w14:paraId="6A99F231" w14:textId="77777777" w:rsidR="00CA403B" w:rsidRPr="00EF7C7E" w:rsidRDefault="00CA403B" w:rsidP="00CA403B">
            <w:pPr>
              <w:jc w:val="center"/>
              <w:rPr>
                <w:u w:val="single"/>
              </w:rPr>
            </w:pPr>
            <w:r w:rsidRPr="00EF7C7E">
              <w:rPr>
                <w:u w:val="single"/>
              </w:rPr>
              <w:t>Высококонцентрированный</w:t>
            </w:r>
          </w:p>
          <w:p w14:paraId="2EED2681" w14:textId="7614B0D8" w:rsidR="00CA403B" w:rsidRPr="00CE567D" w:rsidRDefault="00CA403B" w:rsidP="00F671E8">
            <w:pPr>
              <w:jc w:val="center"/>
              <w:rPr>
                <w:lang w:val="en-US"/>
              </w:rPr>
            </w:pPr>
            <w:r w:rsidRPr="00EF7C7E">
              <w:rPr>
                <w:lang w:val="en-US"/>
              </w:rPr>
              <w:t>CR-</w:t>
            </w:r>
            <w:r w:rsidR="004F707E">
              <w:t>73,08</w:t>
            </w:r>
            <w:r w:rsidRPr="00EF7C7E">
              <w:rPr>
                <w:lang w:val="en-US"/>
              </w:rPr>
              <w:t xml:space="preserve">%; HHI - </w:t>
            </w:r>
            <w:r w:rsidR="00F01E34">
              <w:t>21</w:t>
            </w:r>
            <w:r w:rsidR="00F671E8">
              <w:rPr>
                <w:lang w:val="en-US"/>
              </w:rPr>
              <w:t>44</w:t>
            </w:r>
          </w:p>
        </w:tc>
      </w:tr>
      <w:tr w:rsidR="00CA403B" w:rsidRPr="00667E90" w14:paraId="2A64D1A9" w14:textId="77777777" w:rsidTr="00CE567D">
        <w:trPr>
          <w:trHeight w:val="533"/>
        </w:trPr>
        <w:tc>
          <w:tcPr>
            <w:tcW w:w="3686" w:type="dxa"/>
            <w:shd w:val="clear" w:color="auto" w:fill="F7CAAC"/>
          </w:tcPr>
          <w:p w14:paraId="04A54ECA" w14:textId="77777777" w:rsidR="00CA403B" w:rsidRPr="00AC0F1A" w:rsidRDefault="00CA403B" w:rsidP="00CA403B">
            <w:pPr>
              <w:jc w:val="center"/>
              <w:rPr>
                <w:b/>
                <w:sz w:val="23"/>
                <w:szCs w:val="23"/>
              </w:rPr>
            </w:pPr>
            <w:r w:rsidRPr="00AC0F1A">
              <w:rPr>
                <w:b/>
                <w:sz w:val="23"/>
                <w:szCs w:val="23"/>
              </w:rPr>
              <w:t>После совершения сделки</w:t>
            </w:r>
          </w:p>
        </w:tc>
        <w:tc>
          <w:tcPr>
            <w:tcW w:w="1586" w:type="dxa"/>
            <w:vMerge/>
            <w:shd w:val="clear" w:color="auto" w:fill="auto"/>
          </w:tcPr>
          <w:p w14:paraId="54CC5334" w14:textId="77777777" w:rsidR="00CA403B" w:rsidRPr="00667E90" w:rsidRDefault="00CA403B" w:rsidP="00CA403B">
            <w:pPr>
              <w:jc w:val="center"/>
            </w:pPr>
          </w:p>
        </w:tc>
        <w:tc>
          <w:tcPr>
            <w:tcW w:w="4651" w:type="dxa"/>
            <w:shd w:val="clear" w:color="auto" w:fill="auto"/>
          </w:tcPr>
          <w:p w14:paraId="3DA0D818" w14:textId="77777777" w:rsidR="00CA403B" w:rsidRPr="00EF7C7E" w:rsidRDefault="00CA403B" w:rsidP="00CA403B">
            <w:pPr>
              <w:jc w:val="center"/>
              <w:rPr>
                <w:u w:val="single"/>
              </w:rPr>
            </w:pPr>
            <w:r w:rsidRPr="00EF7C7E">
              <w:rPr>
                <w:u w:val="single"/>
              </w:rPr>
              <w:t>Высококонцентрированный</w:t>
            </w:r>
          </w:p>
          <w:p w14:paraId="5E8EE144" w14:textId="12D13F2A" w:rsidR="00CA403B" w:rsidRPr="00F671E8" w:rsidRDefault="00CA403B" w:rsidP="00F671E8">
            <w:pPr>
              <w:jc w:val="center"/>
              <w:rPr>
                <w:lang w:val="en-US"/>
              </w:rPr>
            </w:pPr>
            <w:r w:rsidRPr="00EF7C7E">
              <w:rPr>
                <w:lang w:val="en-US"/>
              </w:rPr>
              <w:t>CR-</w:t>
            </w:r>
            <w:r w:rsidR="004F707E">
              <w:t>76,3</w:t>
            </w:r>
            <w:r w:rsidRPr="00EF7C7E">
              <w:rPr>
                <w:lang w:val="en-US"/>
              </w:rPr>
              <w:t xml:space="preserve">%; HHI - </w:t>
            </w:r>
            <w:r w:rsidR="00F671E8">
              <w:t>2</w:t>
            </w:r>
            <w:r w:rsidR="00F671E8">
              <w:rPr>
                <w:lang w:val="en-US"/>
              </w:rPr>
              <w:t>386</w:t>
            </w:r>
          </w:p>
        </w:tc>
      </w:tr>
      <w:tr w:rsidR="00CA403B" w:rsidRPr="00AC0F1A" w14:paraId="1ED904B1" w14:textId="77777777" w:rsidTr="00CE567D">
        <w:trPr>
          <w:trHeight w:val="518"/>
        </w:trPr>
        <w:tc>
          <w:tcPr>
            <w:tcW w:w="5272" w:type="dxa"/>
            <w:gridSpan w:val="2"/>
            <w:shd w:val="clear" w:color="auto" w:fill="A8D08D"/>
          </w:tcPr>
          <w:p w14:paraId="78CBFFB5" w14:textId="77777777" w:rsidR="00CA403B" w:rsidRPr="00AC0F1A" w:rsidRDefault="00CA403B" w:rsidP="00CA403B">
            <w:pPr>
              <w:jc w:val="center"/>
              <w:rPr>
                <w:b/>
                <w:sz w:val="23"/>
                <w:szCs w:val="23"/>
              </w:rPr>
            </w:pPr>
            <w:r w:rsidRPr="00AC0F1A">
              <w:rPr>
                <w:b/>
                <w:sz w:val="23"/>
                <w:szCs w:val="23"/>
              </w:rPr>
              <w:t xml:space="preserve">Изменение индекса </w:t>
            </w:r>
            <w:r w:rsidRPr="00AC0F1A">
              <w:rPr>
                <w:b/>
                <w:sz w:val="23"/>
                <w:szCs w:val="23"/>
                <w:lang w:val="en-US"/>
              </w:rPr>
              <w:t>HHI</w:t>
            </w:r>
            <w:r w:rsidRPr="00AC0F1A">
              <w:rPr>
                <w:b/>
                <w:sz w:val="23"/>
                <w:szCs w:val="23"/>
              </w:rPr>
              <w:t xml:space="preserve"> в результате совершения сделки</w:t>
            </w:r>
          </w:p>
        </w:tc>
        <w:tc>
          <w:tcPr>
            <w:tcW w:w="4651" w:type="dxa"/>
            <w:shd w:val="clear" w:color="auto" w:fill="auto"/>
          </w:tcPr>
          <w:p w14:paraId="451DAF40" w14:textId="06A4AE8F" w:rsidR="00CA403B" w:rsidRPr="00EF7C7E" w:rsidRDefault="00CA403B" w:rsidP="00F01E34">
            <w:pPr>
              <w:jc w:val="center"/>
              <w:rPr>
                <w:b/>
              </w:rPr>
            </w:pPr>
            <w:r w:rsidRPr="00EF7C7E">
              <w:rPr>
                <w:b/>
              </w:rPr>
              <w:t xml:space="preserve">Увеличение на </w:t>
            </w:r>
            <w:r w:rsidR="00F01E34">
              <w:rPr>
                <w:b/>
              </w:rPr>
              <w:t xml:space="preserve">242 </w:t>
            </w:r>
            <w:r w:rsidR="004F707E">
              <w:rPr>
                <w:b/>
              </w:rPr>
              <w:t>пункт</w:t>
            </w:r>
            <w:r w:rsidR="00F01E34">
              <w:rPr>
                <w:b/>
              </w:rPr>
              <w:t>а</w:t>
            </w:r>
          </w:p>
        </w:tc>
      </w:tr>
    </w:tbl>
    <w:p w14:paraId="0695B6FF" w14:textId="77777777" w:rsidR="00CA403B" w:rsidRDefault="00CA403B" w:rsidP="00CA403B">
      <w:pPr>
        <w:autoSpaceDE w:val="0"/>
        <w:autoSpaceDN w:val="0"/>
        <w:adjustRightInd w:val="0"/>
        <w:spacing w:after="40"/>
        <w:jc w:val="both"/>
        <w:rPr>
          <w:sz w:val="28"/>
          <w:szCs w:val="28"/>
        </w:rPr>
      </w:pPr>
    </w:p>
    <w:p w14:paraId="6CFE03AD" w14:textId="731D87DA" w:rsidR="00FC489D" w:rsidRDefault="004206C3" w:rsidP="006D09ED">
      <w:pPr>
        <w:autoSpaceDE w:val="0"/>
        <w:autoSpaceDN w:val="0"/>
        <w:adjustRightInd w:val="0"/>
        <w:ind w:firstLine="709"/>
        <w:jc w:val="both"/>
        <w:rPr>
          <w:sz w:val="28"/>
          <w:szCs w:val="28"/>
        </w:rPr>
      </w:pPr>
      <w:r>
        <w:rPr>
          <w:sz w:val="28"/>
          <w:szCs w:val="28"/>
        </w:rPr>
        <w:t>При этом ф</w:t>
      </w:r>
      <w:r w:rsidRPr="00CA403B">
        <w:rPr>
          <w:sz w:val="28"/>
          <w:szCs w:val="28"/>
        </w:rPr>
        <w:t>актором, обуславливающим сохранение конкуренции на рынке подвесных потолочных конструкций является наличие более дешевой импортной проду</w:t>
      </w:r>
      <w:r>
        <w:rPr>
          <w:sz w:val="28"/>
          <w:szCs w:val="28"/>
        </w:rPr>
        <w:t>кции, а также крупных участников с совокупной долей рынка порядка 35% -40%.</w:t>
      </w:r>
    </w:p>
    <w:p w14:paraId="6EADCCD1" w14:textId="77777777" w:rsidR="00F770C6" w:rsidRPr="006D09ED" w:rsidRDefault="00F770C6" w:rsidP="006D09ED">
      <w:pPr>
        <w:autoSpaceDE w:val="0"/>
        <w:autoSpaceDN w:val="0"/>
        <w:adjustRightInd w:val="0"/>
        <w:ind w:firstLine="709"/>
        <w:jc w:val="both"/>
        <w:rPr>
          <w:sz w:val="28"/>
        </w:rPr>
      </w:pPr>
    </w:p>
    <w:p w14:paraId="67DFED45" w14:textId="77777777" w:rsidR="004B705C" w:rsidRPr="00CE567D" w:rsidRDefault="0033001A" w:rsidP="00FC489D">
      <w:pPr>
        <w:pStyle w:val="1"/>
        <w:jc w:val="center"/>
        <w:rPr>
          <w:rFonts w:ascii="Times New Roman" w:hAnsi="Times New Roman" w:cs="Times New Roman"/>
          <w:b/>
          <w:color w:val="auto"/>
          <w:sz w:val="36"/>
        </w:rPr>
      </w:pPr>
      <w:bookmarkStart w:id="23" w:name="_Toc522004037"/>
      <w:r w:rsidRPr="00647628">
        <w:rPr>
          <w:rFonts w:ascii="Times New Roman" w:hAnsi="Times New Roman" w:cs="Times New Roman"/>
          <w:b/>
          <w:color w:val="auto"/>
          <w:lang w:val="en-US"/>
        </w:rPr>
        <w:t>XI</w:t>
      </w:r>
      <w:r w:rsidRPr="00647628">
        <w:rPr>
          <w:rFonts w:ascii="Times New Roman" w:hAnsi="Times New Roman" w:cs="Times New Roman"/>
          <w:b/>
          <w:color w:val="auto"/>
        </w:rPr>
        <w:t>.</w:t>
      </w:r>
      <w:r w:rsidRPr="00CE567D">
        <w:rPr>
          <w:rFonts w:ascii="Times New Roman" w:hAnsi="Times New Roman" w:cs="Times New Roman"/>
          <w:b/>
          <w:color w:val="auto"/>
          <w:sz w:val="36"/>
        </w:rPr>
        <w:t xml:space="preserve"> </w:t>
      </w:r>
      <w:r w:rsidR="004B705C" w:rsidRPr="00CE567D">
        <w:rPr>
          <w:rFonts w:ascii="Times New Roman" w:hAnsi="Times New Roman" w:cs="Times New Roman"/>
          <w:b/>
          <w:color w:val="auto"/>
          <w:sz w:val="36"/>
        </w:rPr>
        <w:t>Перечень документов, использованных для определения характеристик рассматриваемого товарного рынка</w:t>
      </w:r>
      <w:bookmarkEnd w:id="22"/>
      <w:bookmarkEnd w:id="23"/>
    </w:p>
    <w:p w14:paraId="149E5FCA" w14:textId="77777777" w:rsidR="0054305D" w:rsidRPr="008E605A" w:rsidRDefault="0054305D" w:rsidP="004B705C">
      <w:pPr>
        <w:ind w:firstLine="426"/>
        <w:jc w:val="both"/>
        <w:rPr>
          <w:sz w:val="28"/>
          <w:szCs w:val="28"/>
        </w:rPr>
      </w:pPr>
    </w:p>
    <w:p w14:paraId="1ACD7531" w14:textId="77777777" w:rsidR="00D8436A" w:rsidRDefault="00D8436A" w:rsidP="00D8436A">
      <w:pPr>
        <w:pStyle w:val="af2"/>
        <w:numPr>
          <w:ilvl w:val="0"/>
          <w:numId w:val="10"/>
        </w:numPr>
        <w:ind w:left="0" w:firstLine="426"/>
        <w:jc w:val="both"/>
        <w:rPr>
          <w:sz w:val="28"/>
          <w:szCs w:val="28"/>
        </w:rPr>
      </w:pPr>
      <w:r>
        <w:rPr>
          <w:sz w:val="28"/>
          <w:szCs w:val="28"/>
        </w:rPr>
        <w:t>«</w:t>
      </w:r>
      <w:r w:rsidRPr="00D8436A">
        <w:rPr>
          <w:sz w:val="28"/>
          <w:szCs w:val="28"/>
        </w:rPr>
        <w:t>ОК 034-2014 (КПЕС 2008). Общероссийский классификатор продукции по в</w:t>
      </w:r>
      <w:r>
        <w:rPr>
          <w:sz w:val="28"/>
          <w:szCs w:val="28"/>
        </w:rPr>
        <w:t>идам экономической деятельности» (</w:t>
      </w:r>
      <w:r w:rsidRPr="00D8436A">
        <w:rPr>
          <w:sz w:val="28"/>
          <w:szCs w:val="28"/>
        </w:rPr>
        <w:t>утв</w:t>
      </w:r>
      <w:r>
        <w:rPr>
          <w:sz w:val="28"/>
          <w:szCs w:val="28"/>
        </w:rPr>
        <w:t>ержден приказом Росстандарта</w:t>
      </w:r>
      <w:r>
        <w:rPr>
          <w:sz w:val="28"/>
          <w:szCs w:val="28"/>
        </w:rPr>
        <w:br/>
      </w:r>
      <w:r w:rsidRPr="00D8436A">
        <w:rPr>
          <w:sz w:val="28"/>
          <w:szCs w:val="28"/>
        </w:rPr>
        <w:t xml:space="preserve">от 31.01.2014 </w:t>
      </w:r>
      <w:r>
        <w:rPr>
          <w:sz w:val="28"/>
          <w:szCs w:val="28"/>
        </w:rPr>
        <w:t>№ 14-ст);</w:t>
      </w:r>
    </w:p>
    <w:p w14:paraId="5715A41A" w14:textId="77777777" w:rsidR="00D8436A" w:rsidRDefault="00D8436A" w:rsidP="00D8436A">
      <w:pPr>
        <w:pStyle w:val="af2"/>
        <w:numPr>
          <w:ilvl w:val="0"/>
          <w:numId w:val="10"/>
        </w:numPr>
        <w:ind w:left="0" w:firstLine="426"/>
        <w:jc w:val="both"/>
        <w:rPr>
          <w:sz w:val="28"/>
          <w:szCs w:val="28"/>
        </w:rPr>
      </w:pPr>
      <w:r w:rsidRPr="00D8436A">
        <w:rPr>
          <w:sz w:val="28"/>
          <w:szCs w:val="28"/>
        </w:rPr>
        <w:t>«ОК 029-2014 (КДЕС Ред. 2). Общероссийский классификатор видов экономической деятельности» (утвержден п</w:t>
      </w:r>
      <w:r>
        <w:rPr>
          <w:sz w:val="28"/>
          <w:szCs w:val="28"/>
        </w:rPr>
        <w:t>риказом Росстандарта</w:t>
      </w:r>
      <w:r>
        <w:rPr>
          <w:sz w:val="28"/>
          <w:szCs w:val="28"/>
        </w:rPr>
        <w:br/>
      </w:r>
      <w:r w:rsidRPr="00D8436A">
        <w:rPr>
          <w:sz w:val="28"/>
          <w:szCs w:val="28"/>
        </w:rPr>
        <w:t xml:space="preserve">от 31.01.2014 </w:t>
      </w:r>
      <w:r>
        <w:rPr>
          <w:sz w:val="28"/>
          <w:szCs w:val="28"/>
        </w:rPr>
        <w:t>№</w:t>
      </w:r>
      <w:r w:rsidRPr="00D8436A">
        <w:rPr>
          <w:sz w:val="28"/>
          <w:szCs w:val="28"/>
        </w:rPr>
        <w:t xml:space="preserve"> 14-ст)</w:t>
      </w:r>
      <w:r>
        <w:rPr>
          <w:sz w:val="28"/>
          <w:szCs w:val="28"/>
        </w:rPr>
        <w:t>;</w:t>
      </w:r>
    </w:p>
    <w:p w14:paraId="74456856" w14:textId="77777777" w:rsidR="00D8436A" w:rsidRDefault="00D8436A" w:rsidP="00D8436A">
      <w:pPr>
        <w:pStyle w:val="af2"/>
        <w:numPr>
          <w:ilvl w:val="0"/>
          <w:numId w:val="10"/>
        </w:numPr>
        <w:ind w:left="0" w:firstLine="426"/>
        <w:jc w:val="both"/>
        <w:rPr>
          <w:sz w:val="28"/>
          <w:szCs w:val="28"/>
        </w:rPr>
      </w:pPr>
      <w:r>
        <w:rPr>
          <w:sz w:val="28"/>
          <w:szCs w:val="28"/>
        </w:rPr>
        <w:t>«</w:t>
      </w:r>
      <w:r w:rsidRPr="00D8436A">
        <w:rPr>
          <w:sz w:val="28"/>
          <w:szCs w:val="28"/>
        </w:rPr>
        <w:t>ГОСТ Р 53298-2009. Потолки подвесные. Метод испытания на огнестойкость</w:t>
      </w:r>
      <w:r>
        <w:rPr>
          <w:sz w:val="28"/>
          <w:szCs w:val="28"/>
        </w:rPr>
        <w:t>»</w:t>
      </w:r>
      <w:r w:rsidRPr="00D8436A">
        <w:rPr>
          <w:sz w:val="28"/>
          <w:szCs w:val="28"/>
        </w:rPr>
        <w:t xml:space="preserve"> </w:t>
      </w:r>
      <w:r>
        <w:rPr>
          <w:sz w:val="28"/>
          <w:szCs w:val="28"/>
        </w:rPr>
        <w:t>(утвержден п</w:t>
      </w:r>
      <w:r w:rsidRPr="00D8436A">
        <w:rPr>
          <w:sz w:val="28"/>
          <w:szCs w:val="28"/>
        </w:rPr>
        <w:t>риказом Ро</w:t>
      </w:r>
      <w:r>
        <w:rPr>
          <w:sz w:val="28"/>
          <w:szCs w:val="28"/>
        </w:rPr>
        <w:t>стехрегулирования от 18.02.2009</w:t>
      </w:r>
      <w:r>
        <w:rPr>
          <w:sz w:val="28"/>
          <w:szCs w:val="28"/>
        </w:rPr>
        <w:br/>
        <w:t>№</w:t>
      </w:r>
      <w:r w:rsidRPr="00D8436A">
        <w:rPr>
          <w:sz w:val="28"/>
          <w:szCs w:val="28"/>
        </w:rPr>
        <w:t xml:space="preserve"> 74-ст)</w:t>
      </w:r>
      <w:r>
        <w:rPr>
          <w:sz w:val="28"/>
          <w:szCs w:val="28"/>
        </w:rPr>
        <w:t>.</w:t>
      </w:r>
    </w:p>
    <w:p w14:paraId="3EAFA36E" w14:textId="77777777" w:rsidR="006D09ED" w:rsidRDefault="006D09ED" w:rsidP="006D09ED">
      <w:pPr>
        <w:jc w:val="both"/>
        <w:rPr>
          <w:sz w:val="28"/>
          <w:szCs w:val="28"/>
        </w:rPr>
      </w:pPr>
    </w:p>
    <w:p w14:paraId="411BE933" w14:textId="77777777" w:rsidR="006D09ED" w:rsidRPr="006D09ED" w:rsidRDefault="006D09ED" w:rsidP="006D09ED">
      <w:pPr>
        <w:jc w:val="both"/>
        <w:rPr>
          <w:sz w:val="28"/>
          <w:szCs w:val="28"/>
        </w:rPr>
      </w:pPr>
    </w:p>
    <w:p w14:paraId="5A52AA53" w14:textId="0911065A" w:rsidR="006D09ED" w:rsidRPr="006D09ED" w:rsidRDefault="006D09ED" w:rsidP="006D09ED">
      <w:pPr>
        <w:jc w:val="both"/>
        <w:rPr>
          <w:sz w:val="28"/>
          <w:szCs w:val="28"/>
        </w:rPr>
      </w:pPr>
    </w:p>
    <w:sectPr w:rsidR="006D09ED" w:rsidRPr="006D09ED" w:rsidSect="00315BD1">
      <w:headerReference w:type="default" r:id="rId9"/>
      <w:pgSz w:w="11906" w:h="16838"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58969" w14:textId="77777777" w:rsidR="00362834" w:rsidRDefault="00362834" w:rsidP="006C4FF6">
      <w:r>
        <w:separator/>
      </w:r>
    </w:p>
  </w:endnote>
  <w:endnote w:type="continuationSeparator" w:id="0">
    <w:p w14:paraId="2537674B" w14:textId="77777777" w:rsidR="00362834" w:rsidRDefault="00362834" w:rsidP="006C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1EA59" w14:textId="77777777" w:rsidR="00362834" w:rsidRDefault="00362834" w:rsidP="006C4FF6">
      <w:r>
        <w:separator/>
      </w:r>
    </w:p>
  </w:footnote>
  <w:footnote w:type="continuationSeparator" w:id="0">
    <w:p w14:paraId="0D8544CE" w14:textId="77777777" w:rsidR="00362834" w:rsidRDefault="00362834" w:rsidP="006C4FF6">
      <w:r>
        <w:continuationSeparator/>
      </w:r>
    </w:p>
  </w:footnote>
  <w:footnote w:id="1">
    <w:p w14:paraId="7005420B" w14:textId="79769EAB" w:rsidR="00FB2C6D" w:rsidRPr="00A901C0" w:rsidRDefault="00FB2C6D">
      <w:pPr>
        <w:pStyle w:val="ae"/>
      </w:pPr>
      <w:r>
        <w:rPr>
          <w:rStyle w:val="af0"/>
        </w:rPr>
        <w:footnoteRef/>
      </w:r>
      <w:r>
        <w:t xml:space="preserve"> При определении доли импортированной продукции расчет очищен от внутригрупповых поставок участников рынка</w:t>
      </w:r>
    </w:p>
  </w:footnote>
  <w:footnote w:id="2">
    <w:p w14:paraId="14C3999C" w14:textId="77777777" w:rsidR="00A34564" w:rsidRDefault="00A34564">
      <w:pPr>
        <w:pStyle w:val="a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858616"/>
      <w:docPartObj>
        <w:docPartGallery w:val="Page Numbers (Top of Page)"/>
        <w:docPartUnique/>
      </w:docPartObj>
    </w:sdtPr>
    <w:sdtEndPr/>
    <w:sdtContent>
      <w:p w14:paraId="0D99DDEB" w14:textId="77777777" w:rsidR="00696CA9" w:rsidRDefault="00696CA9">
        <w:pPr>
          <w:pStyle w:val="aa"/>
          <w:jc w:val="center"/>
        </w:pPr>
        <w:r>
          <w:fldChar w:fldCharType="begin"/>
        </w:r>
        <w:r>
          <w:instrText>PAGE   \* MERGEFORMAT</w:instrText>
        </w:r>
        <w:r>
          <w:fldChar w:fldCharType="separate"/>
        </w:r>
        <w:r w:rsidR="000A4E0F">
          <w:rPr>
            <w:noProof/>
          </w:rPr>
          <w:t>2</w:t>
        </w:r>
        <w:r>
          <w:fldChar w:fldCharType="end"/>
        </w:r>
      </w:p>
    </w:sdtContent>
  </w:sdt>
  <w:p w14:paraId="62E349B9" w14:textId="77777777" w:rsidR="00696CA9" w:rsidRDefault="00696CA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2E04"/>
    <w:multiLevelType w:val="hybridMultilevel"/>
    <w:tmpl w:val="CA32852E"/>
    <w:lvl w:ilvl="0" w:tplc="60DA02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6435B39"/>
    <w:multiLevelType w:val="hybridMultilevel"/>
    <w:tmpl w:val="611627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D495774"/>
    <w:multiLevelType w:val="hybridMultilevel"/>
    <w:tmpl w:val="AB56AC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865E0A"/>
    <w:multiLevelType w:val="hybridMultilevel"/>
    <w:tmpl w:val="FDB2279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921A23"/>
    <w:multiLevelType w:val="hybridMultilevel"/>
    <w:tmpl w:val="B17EB8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8983FC1"/>
    <w:multiLevelType w:val="hybridMultilevel"/>
    <w:tmpl w:val="FB58E83A"/>
    <w:lvl w:ilvl="0" w:tplc="7CD45380">
      <w:start w:val="1"/>
      <w:numFmt w:val="bullet"/>
      <w:lvlText w:val="­"/>
      <w:lvlJc w:val="left"/>
      <w:pPr>
        <w:ind w:left="1610" w:hanging="360"/>
      </w:pPr>
      <w:rPr>
        <w:rFonts w:ascii="Times New Roman" w:hAnsi="Times New Roman" w:cs="Times New Roman" w:hint="default"/>
        <w:b w:val="0"/>
        <w:i w:val="0"/>
      </w:rPr>
    </w:lvl>
    <w:lvl w:ilvl="1" w:tplc="04190003" w:tentative="1">
      <w:start w:val="1"/>
      <w:numFmt w:val="bullet"/>
      <w:lvlText w:val="o"/>
      <w:lvlJc w:val="left"/>
      <w:pPr>
        <w:ind w:left="2330" w:hanging="360"/>
      </w:pPr>
      <w:rPr>
        <w:rFonts w:ascii="Courier New" w:hAnsi="Courier New" w:cs="Courier New" w:hint="default"/>
      </w:rPr>
    </w:lvl>
    <w:lvl w:ilvl="2" w:tplc="04190005" w:tentative="1">
      <w:start w:val="1"/>
      <w:numFmt w:val="bullet"/>
      <w:lvlText w:val=""/>
      <w:lvlJc w:val="left"/>
      <w:pPr>
        <w:ind w:left="3050" w:hanging="360"/>
      </w:pPr>
      <w:rPr>
        <w:rFonts w:ascii="Wingdings" w:hAnsi="Wingdings" w:hint="default"/>
      </w:rPr>
    </w:lvl>
    <w:lvl w:ilvl="3" w:tplc="04190001" w:tentative="1">
      <w:start w:val="1"/>
      <w:numFmt w:val="bullet"/>
      <w:lvlText w:val=""/>
      <w:lvlJc w:val="left"/>
      <w:pPr>
        <w:ind w:left="3770" w:hanging="360"/>
      </w:pPr>
      <w:rPr>
        <w:rFonts w:ascii="Symbol" w:hAnsi="Symbol" w:hint="default"/>
      </w:rPr>
    </w:lvl>
    <w:lvl w:ilvl="4" w:tplc="04190003" w:tentative="1">
      <w:start w:val="1"/>
      <w:numFmt w:val="bullet"/>
      <w:lvlText w:val="o"/>
      <w:lvlJc w:val="left"/>
      <w:pPr>
        <w:ind w:left="4490" w:hanging="360"/>
      </w:pPr>
      <w:rPr>
        <w:rFonts w:ascii="Courier New" w:hAnsi="Courier New" w:cs="Courier New" w:hint="default"/>
      </w:rPr>
    </w:lvl>
    <w:lvl w:ilvl="5" w:tplc="04190005" w:tentative="1">
      <w:start w:val="1"/>
      <w:numFmt w:val="bullet"/>
      <w:lvlText w:val=""/>
      <w:lvlJc w:val="left"/>
      <w:pPr>
        <w:ind w:left="5210" w:hanging="360"/>
      </w:pPr>
      <w:rPr>
        <w:rFonts w:ascii="Wingdings" w:hAnsi="Wingdings" w:hint="default"/>
      </w:rPr>
    </w:lvl>
    <w:lvl w:ilvl="6" w:tplc="04190001" w:tentative="1">
      <w:start w:val="1"/>
      <w:numFmt w:val="bullet"/>
      <w:lvlText w:val=""/>
      <w:lvlJc w:val="left"/>
      <w:pPr>
        <w:ind w:left="5930" w:hanging="360"/>
      </w:pPr>
      <w:rPr>
        <w:rFonts w:ascii="Symbol" w:hAnsi="Symbol" w:hint="default"/>
      </w:rPr>
    </w:lvl>
    <w:lvl w:ilvl="7" w:tplc="04190003" w:tentative="1">
      <w:start w:val="1"/>
      <w:numFmt w:val="bullet"/>
      <w:lvlText w:val="o"/>
      <w:lvlJc w:val="left"/>
      <w:pPr>
        <w:ind w:left="6650" w:hanging="360"/>
      </w:pPr>
      <w:rPr>
        <w:rFonts w:ascii="Courier New" w:hAnsi="Courier New" w:cs="Courier New" w:hint="default"/>
      </w:rPr>
    </w:lvl>
    <w:lvl w:ilvl="8" w:tplc="04190005" w:tentative="1">
      <w:start w:val="1"/>
      <w:numFmt w:val="bullet"/>
      <w:lvlText w:val=""/>
      <w:lvlJc w:val="left"/>
      <w:pPr>
        <w:ind w:left="7370" w:hanging="360"/>
      </w:pPr>
      <w:rPr>
        <w:rFonts w:ascii="Wingdings" w:hAnsi="Wingdings" w:hint="default"/>
      </w:rPr>
    </w:lvl>
  </w:abstractNum>
  <w:abstractNum w:abstractNumId="6">
    <w:nsid w:val="1FBA5C97"/>
    <w:multiLevelType w:val="hybridMultilevel"/>
    <w:tmpl w:val="84B0BBA4"/>
    <w:lvl w:ilvl="0" w:tplc="1F58FF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3977D93"/>
    <w:multiLevelType w:val="hybridMultilevel"/>
    <w:tmpl w:val="552E57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7E5141"/>
    <w:multiLevelType w:val="hybridMultilevel"/>
    <w:tmpl w:val="C7B041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B77AA2"/>
    <w:multiLevelType w:val="multilevel"/>
    <w:tmpl w:val="F63AC2F8"/>
    <w:lvl w:ilvl="0">
      <w:start w:val="1"/>
      <w:numFmt w:val="bullet"/>
      <w:lvlText w:val=""/>
      <w:lvlJc w:val="left"/>
      <w:pPr>
        <w:tabs>
          <w:tab w:val="num" w:pos="720"/>
        </w:tabs>
        <w:ind w:left="720" w:hanging="360"/>
      </w:pPr>
      <w:rPr>
        <w:rFonts w:ascii="Symbol" w:hAnsi="Symbol" w:hint="default"/>
        <w:sz w:val="28"/>
        <w:szCs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0346FC"/>
    <w:multiLevelType w:val="hybridMultilevel"/>
    <w:tmpl w:val="D42670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D21A68"/>
    <w:multiLevelType w:val="hybridMultilevel"/>
    <w:tmpl w:val="84B0BBA4"/>
    <w:lvl w:ilvl="0" w:tplc="1F58FF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E5B07DE"/>
    <w:multiLevelType w:val="hybridMultilevel"/>
    <w:tmpl w:val="EDCC6F7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33934B8F"/>
    <w:multiLevelType w:val="hybridMultilevel"/>
    <w:tmpl w:val="DED07E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3B35F6"/>
    <w:multiLevelType w:val="hybridMultilevel"/>
    <w:tmpl w:val="BF2A3820"/>
    <w:lvl w:ilvl="0" w:tplc="68F84EFC">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9267BCE"/>
    <w:multiLevelType w:val="hybridMultilevel"/>
    <w:tmpl w:val="1BE0CA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E567BF9"/>
    <w:multiLevelType w:val="hybridMultilevel"/>
    <w:tmpl w:val="539E39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A93DC4"/>
    <w:multiLevelType w:val="hybridMultilevel"/>
    <w:tmpl w:val="754A33F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E0E7FDE"/>
    <w:multiLevelType w:val="hybridMultilevel"/>
    <w:tmpl w:val="5FDE4F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6D4C98"/>
    <w:multiLevelType w:val="multilevel"/>
    <w:tmpl w:val="37868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656DD2"/>
    <w:multiLevelType w:val="hybridMultilevel"/>
    <w:tmpl w:val="C97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8066BC"/>
    <w:multiLevelType w:val="hybridMultilevel"/>
    <w:tmpl w:val="0262AAEE"/>
    <w:lvl w:ilvl="0" w:tplc="68F84EF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6CCE5AFF"/>
    <w:multiLevelType w:val="hybridMultilevel"/>
    <w:tmpl w:val="677EC59E"/>
    <w:lvl w:ilvl="0" w:tplc="68F84EF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1E11501"/>
    <w:multiLevelType w:val="hybridMultilevel"/>
    <w:tmpl w:val="E52EC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8A7427"/>
    <w:multiLevelType w:val="hybridMultilevel"/>
    <w:tmpl w:val="97DA278C"/>
    <w:lvl w:ilvl="0" w:tplc="68F84EFC">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5">
    <w:nsid w:val="7D381D5B"/>
    <w:multiLevelType w:val="hybridMultilevel"/>
    <w:tmpl w:val="A75E3A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7"/>
  </w:num>
  <w:num w:numId="3">
    <w:abstractNumId w:val="2"/>
  </w:num>
  <w:num w:numId="4">
    <w:abstractNumId w:val="18"/>
  </w:num>
  <w:num w:numId="5">
    <w:abstractNumId w:val="13"/>
  </w:num>
  <w:num w:numId="6">
    <w:abstractNumId w:val="10"/>
  </w:num>
  <w:num w:numId="7">
    <w:abstractNumId w:val="19"/>
  </w:num>
  <w:num w:numId="8">
    <w:abstractNumId w:val="15"/>
  </w:num>
  <w:num w:numId="9">
    <w:abstractNumId w:val="1"/>
  </w:num>
  <w:num w:numId="10">
    <w:abstractNumId w:val="12"/>
  </w:num>
  <w:num w:numId="11">
    <w:abstractNumId w:val="23"/>
  </w:num>
  <w:num w:numId="12">
    <w:abstractNumId w:val="4"/>
  </w:num>
  <w:num w:numId="13">
    <w:abstractNumId w:val="25"/>
  </w:num>
  <w:num w:numId="14">
    <w:abstractNumId w:val="22"/>
  </w:num>
  <w:num w:numId="15">
    <w:abstractNumId w:val="3"/>
  </w:num>
  <w:num w:numId="16">
    <w:abstractNumId w:val="21"/>
  </w:num>
  <w:num w:numId="17">
    <w:abstractNumId w:val="14"/>
  </w:num>
  <w:num w:numId="18">
    <w:abstractNumId w:val="24"/>
  </w:num>
  <w:num w:numId="19">
    <w:abstractNumId w:val="20"/>
  </w:num>
  <w:num w:numId="20">
    <w:abstractNumId w:val="0"/>
  </w:num>
  <w:num w:numId="21">
    <w:abstractNumId w:val="7"/>
  </w:num>
  <w:num w:numId="22">
    <w:abstractNumId w:val="5"/>
  </w:num>
  <w:num w:numId="23">
    <w:abstractNumId w:val="9"/>
  </w:num>
  <w:num w:numId="24">
    <w:abstractNumId w:val="6"/>
  </w:num>
  <w:num w:numId="25">
    <w:abstractNumId w:val="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5D"/>
    <w:rsid w:val="000071B8"/>
    <w:rsid w:val="00017400"/>
    <w:rsid w:val="00021D13"/>
    <w:rsid w:val="00022010"/>
    <w:rsid w:val="00040E60"/>
    <w:rsid w:val="00044A0F"/>
    <w:rsid w:val="00057771"/>
    <w:rsid w:val="00083E60"/>
    <w:rsid w:val="0009195E"/>
    <w:rsid w:val="000A2B96"/>
    <w:rsid w:val="000A2BE4"/>
    <w:rsid w:val="000A4E0F"/>
    <w:rsid w:val="000F1D16"/>
    <w:rsid w:val="00106D84"/>
    <w:rsid w:val="00125DCA"/>
    <w:rsid w:val="00130F87"/>
    <w:rsid w:val="00157D2D"/>
    <w:rsid w:val="001673DA"/>
    <w:rsid w:val="00174EC2"/>
    <w:rsid w:val="00182FBA"/>
    <w:rsid w:val="001961A8"/>
    <w:rsid w:val="001B09F9"/>
    <w:rsid w:val="001B7A57"/>
    <w:rsid w:val="001C619C"/>
    <w:rsid w:val="00216C65"/>
    <w:rsid w:val="002377EB"/>
    <w:rsid w:val="0025504E"/>
    <w:rsid w:val="00257E12"/>
    <w:rsid w:val="0026340F"/>
    <w:rsid w:val="0027274B"/>
    <w:rsid w:val="002D418D"/>
    <w:rsid w:val="002E4B72"/>
    <w:rsid w:val="0030233F"/>
    <w:rsid w:val="00305D45"/>
    <w:rsid w:val="00315BD1"/>
    <w:rsid w:val="0033001A"/>
    <w:rsid w:val="003348F7"/>
    <w:rsid w:val="00362834"/>
    <w:rsid w:val="0037192F"/>
    <w:rsid w:val="00373DF3"/>
    <w:rsid w:val="00387396"/>
    <w:rsid w:val="00387F61"/>
    <w:rsid w:val="00395FE4"/>
    <w:rsid w:val="003E1387"/>
    <w:rsid w:val="003F7D23"/>
    <w:rsid w:val="004011B0"/>
    <w:rsid w:val="0040756D"/>
    <w:rsid w:val="004206C3"/>
    <w:rsid w:val="00457725"/>
    <w:rsid w:val="00457B9F"/>
    <w:rsid w:val="0048226B"/>
    <w:rsid w:val="004938D4"/>
    <w:rsid w:val="00493993"/>
    <w:rsid w:val="004A3595"/>
    <w:rsid w:val="004B5A97"/>
    <w:rsid w:val="004B705C"/>
    <w:rsid w:val="004D34DD"/>
    <w:rsid w:val="004F0E59"/>
    <w:rsid w:val="004F707E"/>
    <w:rsid w:val="0054305D"/>
    <w:rsid w:val="00545F9E"/>
    <w:rsid w:val="00551841"/>
    <w:rsid w:val="005614E3"/>
    <w:rsid w:val="00570DF4"/>
    <w:rsid w:val="00582552"/>
    <w:rsid w:val="0058421C"/>
    <w:rsid w:val="005919A3"/>
    <w:rsid w:val="00595DF7"/>
    <w:rsid w:val="005D43A7"/>
    <w:rsid w:val="005D6691"/>
    <w:rsid w:val="005E351B"/>
    <w:rsid w:val="005F72D7"/>
    <w:rsid w:val="00611731"/>
    <w:rsid w:val="006258C4"/>
    <w:rsid w:val="00647628"/>
    <w:rsid w:val="0065556D"/>
    <w:rsid w:val="006601BA"/>
    <w:rsid w:val="006647F9"/>
    <w:rsid w:val="00696CA9"/>
    <w:rsid w:val="006A6EB5"/>
    <w:rsid w:val="006A77D4"/>
    <w:rsid w:val="006C4FF6"/>
    <w:rsid w:val="006D09ED"/>
    <w:rsid w:val="006F3319"/>
    <w:rsid w:val="0070614A"/>
    <w:rsid w:val="00717C36"/>
    <w:rsid w:val="00725DDF"/>
    <w:rsid w:val="0073345C"/>
    <w:rsid w:val="007354EA"/>
    <w:rsid w:val="007366B2"/>
    <w:rsid w:val="00740BF0"/>
    <w:rsid w:val="00742CD6"/>
    <w:rsid w:val="00745AE8"/>
    <w:rsid w:val="007A3E2B"/>
    <w:rsid w:val="007B01D6"/>
    <w:rsid w:val="007C54CB"/>
    <w:rsid w:val="007E2FFC"/>
    <w:rsid w:val="007E7225"/>
    <w:rsid w:val="00811693"/>
    <w:rsid w:val="0082620E"/>
    <w:rsid w:val="008776DA"/>
    <w:rsid w:val="008827E5"/>
    <w:rsid w:val="008844AE"/>
    <w:rsid w:val="008B6B71"/>
    <w:rsid w:val="008D428D"/>
    <w:rsid w:val="008E605A"/>
    <w:rsid w:val="008E6B09"/>
    <w:rsid w:val="00912B5D"/>
    <w:rsid w:val="00914C27"/>
    <w:rsid w:val="00937402"/>
    <w:rsid w:val="009433B7"/>
    <w:rsid w:val="00943E38"/>
    <w:rsid w:val="00964253"/>
    <w:rsid w:val="00964491"/>
    <w:rsid w:val="009770E9"/>
    <w:rsid w:val="009A5A70"/>
    <w:rsid w:val="009B43D0"/>
    <w:rsid w:val="009B6045"/>
    <w:rsid w:val="009E4182"/>
    <w:rsid w:val="009F0664"/>
    <w:rsid w:val="009F32AE"/>
    <w:rsid w:val="00A05BFC"/>
    <w:rsid w:val="00A129F5"/>
    <w:rsid w:val="00A21553"/>
    <w:rsid w:val="00A23764"/>
    <w:rsid w:val="00A34564"/>
    <w:rsid w:val="00A81C97"/>
    <w:rsid w:val="00A901C0"/>
    <w:rsid w:val="00AA2E59"/>
    <w:rsid w:val="00AC388F"/>
    <w:rsid w:val="00AF1A76"/>
    <w:rsid w:val="00AF4C84"/>
    <w:rsid w:val="00B027C6"/>
    <w:rsid w:val="00B0691C"/>
    <w:rsid w:val="00B2186E"/>
    <w:rsid w:val="00B2325D"/>
    <w:rsid w:val="00B43A24"/>
    <w:rsid w:val="00B47B12"/>
    <w:rsid w:val="00B52686"/>
    <w:rsid w:val="00B54DBF"/>
    <w:rsid w:val="00B630F8"/>
    <w:rsid w:val="00B6406A"/>
    <w:rsid w:val="00B768B9"/>
    <w:rsid w:val="00B93ABC"/>
    <w:rsid w:val="00B941EC"/>
    <w:rsid w:val="00BA4D05"/>
    <w:rsid w:val="00BB7E37"/>
    <w:rsid w:val="00BC527F"/>
    <w:rsid w:val="00BC7DB8"/>
    <w:rsid w:val="00BD3DCF"/>
    <w:rsid w:val="00BF14AB"/>
    <w:rsid w:val="00C06BAD"/>
    <w:rsid w:val="00C272B1"/>
    <w:rsid w:val="00C3608A"/>
    <w:rsid w:val="00C36C0B"/>
    <w:rsid w:val="00C409BA"/>
    <w:rsid w:val="00C55A50"/>
    <w:rsid w:val="00C7438B"/>
    <w:rsid w:val="00CA09C7"/>
    <w:rsid w:val="00CA403B"/>
    <w:rsid w:val="00CA7879"/>
    <w:rsid w:val="00CC4E5E"/>
    <w:rsid w:val="00CE3DB1"/>
    <w:rsid w:val="00CE5677"/>
    <w:rsid w:val="00CE567D"/>
    <w:rsid w:val="00CE6F4A"/>
    <w:rsid w:val="00CF76AA"/>
    <w:rsid w:val="00D27CD1"/>
    <w:rsid w:val="00D7041C"/>
    <w:rsid w:val="00D7311B"/>
    <w:rsid w:val="00D8436A"/>
    <w:rsid w:val="00D97872"/>
    <w:rsid w:val="00DD5820"/>
    <w:rsid w:val="00DD654D"/>
    <w:rsid w:val="00DF12F8"/>
    <w:rsid w:val="00E01732"/>
    <w:rsid w:val="00E17ABC"/>
    <w:rsid w:val="00E20766"/>
    <w:rsid w:val="00E92F97"/>
    <w:rsid w:val="00E974A6"/>
    <w:rsid w:val="00EC6860"/>
    <w:rsid w:val="00EF2D96"/>
    <w:rsid w:val="00F01E34"/>
    <w:rsid w:val="00F2054D"/>
    <w:rsid w:val="00F20E6C"/>
    <w:rsid w:val="00F65629"/>
    <w:rsid w:val="00F671E8"/>
    <w:rsid w:val="00F770C6"/>
    <w:rsid w:val="00FB2C6D"/>
    <w:rsid w:val="00FB304B"/>
    <w:rsid w:val="00FB713E"/>
    <w:rsid w:val="00FC489D"/>
    <w:rsid w:val="00FE3019"/>
    <w:rsid w:val="00FF5578"/>
    <w:rsid w:val="00FF5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B0CA5"/>
  <w15:chartTrackingRefBased/>
  <w15:docId w15:val="{AA4FD54F-FE04-48A4-ABB4-E64EC393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0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001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54305D"/>
    <w:rPr>
      <w:sz w:val="16"/>
      <w:szCs w:val="16"/>
    </w:rPr>
  </w:style>
  <w:style w:type="paragraph" w:styleId="a4">
    <w:name w:val="annotation text"/>
    <w:basedOn w:val="a"/>
    <w:link w:val="a5"/>
    <w:rsid w:val="0054305D"/>
    <w:rPr>
      <w:sz w:val="20"/>
      <w:szCs w:val="20"/>
    </w:rPr>
  </w:style>
  <w:style w:type="character" w:customStyle="1" w:styleId="a5">
    <w:name w:val="Текст примечания Знак"/>
    <w:basedOn w:val="a0"/>
    <w:link w:val="a4"/>
    <w:rsid w:val="0054305D"/>
    <w:rPr>
      <w:rFonts w:ascii="Times New Roman" w:eastAsia="Times New Roman" w:hAnsi="Times New Roman" w:cs="Times New Roman"/>
      <w:sz w:val="20"/>
      <w:szCs w:val="20"/>
      <w:lang w:eastAsia="ru-RU"/>
    </w:rPr>
  </w:style>
  <w:style w:type="paragraph" w:customStyle="1" w:styleId="CharChar">
    <w:name w:val="Char Char"/>
    <w:basedOn w:val="a"/>
    <w:rsid w:val="0054305D"/>
    <w:pPr>
      <w:spacing w:before="100" w:beforeAutospacing="1" w:after="100" w:afterAutospacing="1"/>
      <w:jc w:val="both"/>
    </w:pPr>
    <w:rPr>
      <w:rFonts w:ascii="Tahoma" w:hAnsi="Tahoma"/>
      <w:sz w:val="20"/>
      <w:szCs w:val="20"/>
      <w:lang w:val="en-US" w:eastAsia="en-US"/>
    </w:rPr>
  </w:style>
  <w:style w:type="paragraph" w:styleId="a6">
    <w:name w:val="Balloon Text"/>
    <w:basedOn w:val="a"/>
    <w:link w:val="a7"/>
    <w:uiPriority w:val="99"/>
    <w:semiHidden/>
    <w:unhideWhenUsed/>
    <w:rsid w:val="0054305D"/>
    <w:rPr>
      <w:rFonts w:ascii="Segoe UI" w:hAnsi="Segoe UI" w:cs="Segoe UI"/>
      <w:sz w:val="18"/>
      <w:szCs w:val="18"/>
    </w:rPr>
  </w:style>
  <w:style w:type="character" w:customStyle="1" w:styleId="a7">
    <w:name w:val="Текст выноски Знак"/>
    <w:basedOn w:val="a0"/>
    <w:link w:val="a6"/>
    <w:uiPriority w:val="99"/>
    <w:semiHidden/>
    <w:rsid w:val="0054305D"/>
    <w:rPr>
      <w:rFonts w:ascii="Segoe UI" w:eastAsia="Times New Roman" w:hAnsi="Segoe UI" w:cs="Segoe UI"/>
      <w:sz w:val="18"/>
      <w:szCs w:val="18"/>
      <w:lang w:eastAsia="ru-RU"/>
    </w:rPr>
  </w:style>
  <w:style w:type="paragraph" w:styleId="a8">
    <w:name w:val="Body Text Indent"/>
    <w:basedOn w:val="a"/>
    <w:link w:val="a9"/>
    <w:rsid w:val="00C272B1"/>
    <w:pPr>
      <w:tabs>
        <w:tab w:val="left" w:pos="10206"/>
      </w:tabs>
      <w:ind w:firstLine="567"/>
      <w:jc w:val="both"/>
    </w:pPr>
    <w:rPr>
      <w:sz w:val="28"/>
      <w:szCs w:val="20"/>
    </w:rPr>
  </w:style>
  <w:style w:type="character" w:customStyle="1" w:styleId="a9">
    <w:name w:val="Основной текст с отступом Знак"/>
    <w:basedOn w:val="a0"/>
    <w:link w:val="a8"/>
    <w:rsid w:val="00C272B1"/>
    <w:rPr>
      <w:rFonts w:ascii="Times New Roman" w:eastAsia="Times New Roman" w:hAnsi="Times New Roman" w:cs="Times New Roman"/>
      <w:sz w:val="28"/>
      <w:szCs w:val="20"/>
      <w:lang w:eastAsia="ru-RU"/>
    </w:rPr>
  </w:style>
  <w:style w:type="character" w:customStyle="1" w:styleId="2">
    <w:name w:val="Основной текст (2) + Полужирный"/>
    <w:rsid w:val="00C272B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a">
    <w:name w:val="header"/>
    <w:basedOn w:val="a"/>
    <w:link w:val="ab"/>
    <w:uiPriority w:val="99"/>
    <w:unhideWhenUsed/>
    <w:rsid w:val="006C4FF6"/>
    <w:pPr>
      <w:tabs>
        <w:tab w:val="center" w:pos="4677"/>
        <w:tab w:val="right" w:pos="9355"/>
      </w:tabs>
    </w:pPr>
  </w:style>
  <w:style w:type="character" w:customStyle="1" w:styleId="ab">
    <w:name w:val="Верхний колонтитул Знак"/>
    <w:basedOn w:val="a0"/>
    <w:link w:val="aa"/>
    <w:uiPriority w:val="99"/>
    <w:rsid w:val="006C4FF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C4FF6"/>
    <w:pPr>
      <w:tabs>
        <w:tab w:val="center" w:pos="4677"/>
        <w:tab w:val="right" w:pos="9355"/>
      </w:tabs>
    </w:pPr>
  </w:style>
  <w:style w:type="character" w:customStyle="1" w:styleId="ad">
    <w:name w:val="Нижний колонтитул Знак"/>
    <w:basedOn w:val="a0"/>
    <w:link w:val="ac"/>
    <w:uiPriority w:val="99"/>
    <w:rsid w:val="006C4FF6"/>
    <w:rPr>
      <w:rFonts w:ascii="Times New Roman" w:eastAsia="Times New Roman" w:hAnsi="Times New Roman" w:cs="Times New Roman"/>
      <w:sz w:val="24"/>
      <w:szCs w:val="24"/>
      <w:lang w:eastAsia="ru-RU"/>
    </w:rPr>
  </w:style>
  <w:style w:type="paragraph" w:styleId="ae">
    <w:name w:val="footnote text"/>
    <w:basedOn w:val="a"/>
    <w:link w:val="af"/>
    <w:uiPriority w:val="99"/>
    <w:rsid w:val="009433B7"/>
    <w:rPr>
      <w:sz w:val="20"/>
      <w:szCs w:val="20"/>
    </w:rPr>
  </w:style>
  <w:style w:type="character" w:customStyle="1" w:styleId="af">
    <w:name w:val="Текст сноски Знак"/>
    <w:basedOn w:val="a0"/>
    <w:link w:val="ae"/>
    <w:uiPriority w:val="99"/>
    <w:rsid w:val="009433B7"/>
    <w:rPr>
      <w:rFonts w:ascii="Times New Roman" w:eastAsia="Times New Roman" w:hAnsi="Times New Roman" w:cs="Times New Roman"/>
      <w:sz w:val="20"/>
      <w:szCs w:val="20"/>
      <w:lang w:eastAsia="ru-RU"/>
    </w:rPr>
  </w:style>
  <w:style w:type="character" w:styleId="af0">
    <w:name w:val="footnote reference"/>
    <w:uiPriority w:val="99"/>
    <w:rsid w:val="009433B7"/>
    <w:rPr>
      <w:vertAlign w:val="superscript"/>
    </w:rPr>
  </w:style>
  <w:style w:type="paragraph" w:styleId="af1">
    <w:name w:val="caption"/>
    <w:basedOn w:val="a"/>
    <w:next w:val="a"/>
    <w:unhideWhenUsed/>
    <w:qFormat/>
    <w:rsid w:val="009433B7"/>
    <w:rPr>
      <w:b/>
      <w:bCs/>
      <w:sz w:val="20"/>
      <w:szCs w:val="20"/>
    </w:rPr>
  </w:style>
  <w:style w:type="paragraph" w:customStyle="1" w:styleId="CharChar0">
    <w:name w:val="Char Char"/>
    <w:basedOn w:val="a"/>
    <w:rsid w:val="00DD5820"/>
    <w:pPr>
      <w:spacing w:before="100" w:beforeAutospacing="1" w:after="100" w:afterAutospacing="1"/>
      <w:jc w:val="both"/>
    </w:pPr>
    <w:rPr>
      <w:rFonts w:ascii="Tahoma" w:hAnsi="Tahoma"/>
      <w:sz w:val="20"/>
      <w:szCs w:val="20"/>
      <w:lang w:val="en-US" w:eastAsia="en-US"/>
    </w:rPr>
  </w:style>
  <w:style w:type="paragraph" w:customStyle="1" w:styleId="11">
    <w:name w:val="Обычный1"/>
    <w:rsid w:val="00DD5820"/>
    <w:pPr>
      <w:widowControl w:val="0"/>
      <w:snapToGrid w:val="0"/>
      <w:spacing w:after="0" w:line="240" w:lineRule="auto"/>
    </w:pPr>
    <w:rPr>
      <w:rFonts w:ascii="Courier New" w:eastAsia="Times New Roman" w:hAnsi="Courier New" w:cs="Times New Roman"/>
      <w:sz w:val="20"/>
      <w:szCs w:val="20"/>
      <w:lang w:eastAsia="ru-RU"/>
    </w:rPr>
  </w:style>
  <w:style w:type="paragraph" w:styleId="af2">
    <w:name w:val="List Paragraph"/>
    <w:basedOn w:val="a"/>
    <w:uiPriority w:val="34"/>
    <w:qFormat/>
    <w:rsid w:val="00DD5820"/>
    <w:pPr>
      <w:ind w:left="720"/>
      <w:contextualSpacing/>
    </w:pPr>
  </w:style>
  <w:style w:type="character" w:customStyle="1" w:styleId="10">
    <w:name w:val="Заголовок 1 Знак"/>
    <w:basedOn w:val="a0"/>
    <w:link w:val="1"/>
    <w:uiPriority w:val="9"/>
    <w:rsid w:val="0033001A"/>
    <w:rPr>
      <w:rFonts w:asciiTheme="majorHAnsi" w:eastAsiaTheme="majorEastAsia" w:hAnsiTheme="majorHAnsi" w:cstheme="majorBidi"/>
      <w:color w:val="2E74B5" w:themeColor="accent1" w:themeShade="BF"/>
      <w:sz w:val="32"/>
      <w:szCs w:val="32"/>
      <w:lang w:eastAsia="ru-RU"/>
    </w:rPr>
  </w:style>
  <w:style w:type="paragraph" w:styleId="af3">
    <w:name w:val="TOC Heading"/>
    <w:basedOn w:val="1"/>
    <w:next w:val="a"/>
    <w:uiPriority w:val="39"/>
    <w:unhideWhenUsed/>
    <w:qFormat/>
    <w:rsid w:val="0033001A"/>
    <w:pPr>
      <w:spacing w:line="259" w:lineRule="auto"/>
      <w:outlineLvl w:val="9"/>
    </w:pPr>
  </w:style>
  <w:style w:type="paragraph" w:styleId="12">
    <w:name w:val="toc 1"/>
    <w:basedOn w:val="a"/>
    <w:next w:val="a"/>
    <w:autoRedefine/>
    <w:uiPriority w:val="39"/>
    <w:unhideWhenUsed/>
    <w:rsid w:val="0033001A"/>
    <w:pPr>
      <w:spacing w:after="100"/>
    </w:pPr>
  </w:style>
  <w:style w:type="character" w:styleId="af4">
    <w:name w:val="Hyperlink"/>
    <w:basedOn w:val="a0"/>
    <w:uiPriority w:val="99"/>
    <w:unhideWhenUsed/>
    <w:rsid w:val="0033001A"/>
    <w:rPr>
      <w:color w:val="0563C1" w:themeColor="hyperlink"/>
      <w:u w:val="single"/>
    </w:rPr>
  </w:style>
  <w:style w:type="paragraph" w:styleId="af5">
    <w:name w:val="No Spacing"/>
    <w:uiPriority w:val="1"/>
    <w:qFormat/>
    <w:rsid w:val="00457B9F"/>
    <w:pPr>
      <w:spacing w:after="0" w:line="240" w:lineRule="auto"/>
    </w:pPr>
    <w:rPr>
      <w:rFonts w:ascii="Times New Roman" w:eastAsia="Times New Roman" w:hAnsi="Times New Roman" w:cs="Times New Roman"/>
      <w:sz w:val="24"/>
      <w:szCs w:val="24"/>
      <w:lang w:eastAsia="ru-RU"/>
    </w:rPr>
  </w:style>
  <w:style w:type="character" w:styleId="af6">
    <w:name w:val="Strong"/>
    <w:uiPriority w:val="22"/>
    <w:qFormat/>
    <w:rsid w:val="004938D4"/>
    <w:rPr>
      <w:b/>
      <w:bCs/>
    </w:rPr>
  </w:style>
  <w:style w:type="paragraph" w:customStyle="1" w:styleId="20">
    <w:name w:val="Обычный2"/>
    <w:rsid w:val="00387F61"/>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21">
    <w:name w:val="Основной текст 21"/>
    <w:basedOn w:val="a"/>
    <w:rsid w:val="00387F61"/>
    <w:pPr>
      <w:suppressAutoHyphens/>
    </w:pPr>
    <w:rPr>
      <w:sz w:val="28"/>
      <w:szCs w:val="20"/>
      <w:lang w:eastAsia="ar-SA"/>
    </w:rPr>
  </w:style>
  <w:style w:type="character" w:customStyle="1" w:styleId="blk">
    <w:name w:val="blk"/>
    <w:rsid w:val="00387F61"/>
  </w:style>
  <w:style w:type="paragraph" w:styleId="22">
    <w:name w:val="toc 2"/>
    <w:basedOn w:val="a"/>
    <w:next w:val="a"/>
    <w:autoRedefine/>
    <w:uiPriority w:val="39"/>
    <w:unhideWhenUsed/>
    <w:rsid w:val="00AF4C84"/>
    <w:pPr>
      <w:spacing w:after="100"/>
      <w:ind w:left="240"/>
    </w:pPr>
  </w:style>
  <w:style w:type="paragraph" w:styleId="af7">
    <w:name w:val="annotation subject"/>
    <w:basedOn w:val="a4"/>
    <w:next w:val="a4"/>
    <w:link w:val="af8"/>
    <w:uiPriority w:val="99"/>
    <w:semiHidden/>
    <w:unhideWhenUsed/>
    <w:rsid w:val="00696CA9"/>
    <w:rPr>
      <w:b/>
      <w:bCs/>
    </w:rPr>
  </w:style>
  <w:style w:type="character" w:customStyle="1" w:styleId="af8">
    <w:name w:val="Тема примечания Знак"/>
    <w:basedOn w:val="a5"/>
    <w:link w:val="af7"/>
    <w:uiPriority w:val="99"/>
    <w:semiHidden/>
    <w:rsid w:val="00696CA9"/>
    <w:rPr>
      <w:rFonts w:ascii="Times New Roman" w:eastAsia="Times New Roman" w:hAnsi="Times New Roman" w:cs="Times New Roman"/>
      <w:b/>
      <w:bCs/>
      <w:sz w:val="20"/>
      <w:szCs w:val="20"/>
      <w:lang w:eastAsia="ru-RU"/>
    </w:rPr>
  </w:style>
  <w:style w:type="paragraph" w:styleId="3">
    <w:name w:val="toc 3"/>
    <w:basedOn w:val="a"/>
    <w:next w:val="a"/>
    <w:autoRedefine/>
    <w:uiPriority w:val="39"/>
    <w:unhideWhenUsed/>
    <w:rsid w:val="005D6691"/>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255614">
      <w:bodyDiv w:val="1"/>
      <w:marLeft w:val="0"/>
      <w:marRight w:val="0"/>
      <w:marTop w:val="0"/>
      <w:marBottom w:val="0"/>
      <w:divBdr>
        <w:top w:val="none" w:sz="0" w:space="0" w:color="auto"/>
        <w:left w:val="none" w:sz="0" w:space="0" w:color="auto"/>
        <w:bottom w:val="none" w:sz="0" w:space="0" w:color="auto"/>
        <w:right w:val="none" w:sz="0" w:space="0" w:color="auto"/>
      </w:divBdr>
      <w:divsChild>
        <w:div w:id="1891722061">
          <w:marLeft w:val="60"/>
          <w:marRight w:val="60"/>
          <w:marTop w:val="100"/>
          <w:marBottom w:val="100"/>
          <w:divBdr>
            <w:top w:val="none" w:sz="0" w:space="0" w:color="auto"/>
            <w:left w:val="none" w:sz="0" w:space="0" w:color="auto"/>
            <w:bottom w:val="none" w:sz="0" w:space="0" w:color="auto"/>
            <w:right w:val="none" w:sz="0" w:space="0" w:color="auto"/>
          </w:divBdr>
          <w:divsChild>
            <w:div w:id="1933278313">
              <w:marLeft w:val="0"/>
              <w:marRight w:val="0"/>
              <w:marTop w:val="0"/>
              <w:marBottom w:val="0"/>
              <w:divBdr>
                <w:top w:val="none" w:sz="0" w:space="0" w:color="auto"/>
                <w:left w:val="none" w:sz="0" w:space="0" w:color="auto"/>
                <w:bottom w:val="none" w:sz="0" w:space="0" w:color="auto"/>
                <w:right w:val="none" w:sz="0" w:space="0" w:color="auto"/>
              </w:divBdr>
            </w:div>
          </w:divsChild>
        </w:div>
        <w:div w:id="329723502">
          <w:marLeft w:val="60"/>
          <w:marRight w:val="60"/>
          <w:marTop w:val="100"/>
          <w:marBottom w:val="100"/>
          <w:divBdr>
            <w:top w:val="none" w:sz="0" w:space="0" w:color="auto"/>
            <w:left w:val="none" w:sz="0" w:space="0" w:color="auto"/>
            <w:bottom w:val="none" w:sz="0" w:space="0" w:color="auto"/>
            <w:right w:val="none" w:sz="0" w:space="0" w:color="auto"/>
          </w:divBdr>
          <w:divsChild>
            <w:div w:id="59730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07689">
      <w:bodyDiv w:val="1"/>
      <w:marLeft w:val="0"/>
      <w:marRight w:val="0"/>
      <w:marTop w:val="0"/>
      <w:marBottom w:val="0"/>
      <w:divBdr>
        <w:top w:val="none" w:sz="0" w:space="0" w:color="auto"/>
        <w:left w:val="none" w:sz="0" w:space="0" w:color="auto"/>
        <w:bottom w:val="none" w:sz="0" w:space="0" w:color="auto"/>
        <w:right w:val="none" w:sz="0" w:space="0" w:color="auto"/>
      </w:divBdr>
    </w:div>
    <w:div w:id="1217622593">
      <w:bodyDiv w:val="1"/>
      <w:marLeft w:val="0"/>
      <w:marRight w:val="0"/>
      <w:marTop w:val="0"/>
      <w:marBottom w:val="0"/>
      <w:divBdr>
        <w:top w:val="none" w:sz="0" w:space="0" w:color="auto"/>
        <w:left w:val="none" w:sz="0" w:space="0" w:color="auto"/>
        <w:bottom w:val="none" w:sz="0" w:space="0" w:color="auto"/>
        <w:right w:val="none" w:sz="0" w:space="0" w:color="auto"/>
      </w:divBdr>
    </w:div>
    <w:div w:id="1311442507">
      <w:bodyDiv w:val="1"/>
      <w:marLeft w:val="0"/>
      <w:marRight w:val="0"/>
      <w:marTop w:val="0"/>
      <w:marBottom w:val="0"/>
      <w:divBdr>
        <w:top w:val="none" w:sz="0" w:space="0" w:color="auto"/>
        <w:left w:val="none" w:sz="0" w:space="0" w:color="auto"/>
        <w:bottom w:val="none" w:sz="0" w:space="0" w:color="auto"/>
        <w:right w:val="none" w:sz="0" w:space="0" w:color="auto"/>
      </w:divBdr>
    </w:div>
    <w:div w:id="1535577359">
      <w:bodyDiv w:val="1"/>
      <w:marLeft w:val="0"/>
      <w:marRight w:val="0"/>
      <w:marTop w:val="0"/>
      <w:marBottom w:val="0"/>
      <w:divBdr>
        <w:top w:val="none" w:sz="0" w:space="0" w:color="auto"/>
        <w:left w:val="none" w:sz="0" w:space="0" w:color="auto"/>
        <w:bottom w:val="none" w:sz="0" w:space="0" w:color="auto"/>
        <w:right w:val="none" w:sz="0" w:space="0" w:color="auto"/>
      </w:divBdr>
    </w:div>
    <w:div w:id="188031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0DBCD-1037-4C80-BCE4-D3BAFCB22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5213</Words>
  <Characters>29718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Мусаев Ахмед Владимирович</dc:creator>
  <cp:keywords/>
  <dc:description/>
  <cp:lastModifiedBy>Дохов Азамат Алиевич</cp:lastModifiedBy>
  <cp:revision>2</cp:revision>
  <cp:lastPrinted>2018-08-14T06:58:00Z</cp:lastPrinted>
  <dcterms:created xsi:type="dcterms:W3CDTF">2018-08-16T08:59:00Z</dcterms:created>
  <dcterms:modified xsi:type="dcterms:W3CDTF">2018-08-16T08:59:00Z</dcterms:modified>
</cp:coreProperties>
</file>