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445" w:rsidRPr="002D2B21" w:rsidRDefault="00983445" w:rsidP="002D2B21">
      <w:pPr>
        <w:pStyle w:val="a3"/>
        <w:suppressAutoHyphens/>
        <w:spacing w:before="0" w:beforeAutospacing="0" w:after="0"/>
        <w:ind w:firstLine="709"/>
        <w:jc w:val="both"/>
        <w:rPr>
          <w:b/>
          <w:bCs/>
          <w:color w:val="000000"/>
          <w:sz w:val="26"/>
          <w:szCs w:val="26"/>
          <w:shd w:val="clear" w:color="auto" w:fill="FFFFFF"/>
        </w:rPr>
      </w:pPr>
      <w:r w:rsidRPr="002D2B21">
        <w:rPr>
          <w:b/>
          <w:sz w:val="26"/>
          <w:szCs w:val="26"/>
        </w:rPr>
        <w:t xml:space="preserve">Об </w:t>
      </w:r>
      <w:r w:rsidRPr="002D2B21">
        <w:rPr>
          <w:b/>
          <w:bCs/>
          <w:color w:val="000000"/>
          <w:sz w:val="26"/>
          <w:szCs w:val="26"/>
          <w:shd w:val="clear" w:color="auto" w:fill="FFFFFF"/>
        </w:rPr>
        <w:t xml:space="preserve">особенностях контроля антимонопольного органа за </w:t>
      </w:r>
      <w:r w:rsidR="00F17AD4">
        <w:rPr>
          <w:b/>
          <w:bCs/>
          <w:color w:val="000000"/>
          <w:sz w:val="26"/>
          <w:szCs w:val="26"/>
          <w:shd w:val="clear" w:color="auto" w:fill="FFFFFF"/>
        </w:rPr>
        <w:t>созданием коммерческой организации</w:t>
      </w:r>
      <w:r w:rsidRPr="002D2B21">
        <w:rPr>
          <w:b/>
          <w:bCs/>
          <w:color w:val="000000"/>
          <w:sz w:val="26"/>
          <w:szCs w:val="26"/>
          <w:shd w:val="clear" w:color="auto" w:fill="FFFFFF"/>
        </w:rPr>
        <w:t>, осуществляем</w:t>
      </w:r>
      <w:r w:rsidR="00F17AD4">
        <w:rPr>
          <w:b/>
          <w:bCs/>
          <w:color w:val="000000"/>
          <w:sz w:val="26"/>
          <w:szCs w:val="26"/>
          <w:shd w:val="clear" w:color="auto" w:fill="FFFFFF"/>
        </w:rPr>
        <w:t>ым</w:t>
      </w:r>
      <w:r w:rsidRPr="002D2B21">
        <w:rPr>
          <w:b/>
          <w:bCs/>
          <w:color w:val="000000"/>
          <w:sz w:val="26"/>
          <w:szCs w:val="26"/>
          <w:shd w:val="clear" w:color="auto" w:fill="FFFFFF"/>
        </w:rPr>
        <w:t xml:space="preserve"> лица</w:t>
      </w:r>
      <w:r w:rsidR="00AE535B" w:rsidRPr="002D2B21">
        <w:rPr>
          <w:b/>
          <w:bCs/>
          <w:color w:val="000000"/>
          <w:sz w:val="26"/>
          <w:szCs w:val="26"/>
          <w:shd w:val="clear" w:color="auto" w:fill="FFFFFF"/>
        </w:rPr>
        <w:t>ми, входящими в одну группу лиц</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shd w:val="clear" w:color="auto" w:fill="FFFFFF"/>
        </w:rPr>
        <w:t>Согласно пункту 5 части 1 статьи 27 Федерального закона от 26.07.2006</w:t>
      </w:r>
      <w:r w:rsidRPr="002D2B21">
        <w:rPr>
          <w:sz w:val="26"/>
          <w:szCs w:val="26"/>
          <w:shd w:val="clear" w:color="auto" w:fill="FFFFFF"/>
        </w:rPr>
        <w:br/>
        <w:t xml:space="preserve">№ 135-ФЗ «О защите конкуренции» (далее </w:t>
      </w:r>
      <w:r w:rsidRPr="002D2B21">
        <w:rPr>
          <w:sz w:val="26"/>
          <w:szCs w:val="26"/>
        </w:rPr>
        <w:t xml:space="preserve">– </w:t>
      </w:r>
      <w:r w:rsidRPr="002D2B21">
        <w:rPr>
          <w:sz w:val="26"/>
          <w:szCs w:val="26"/>
          <w:shd w:val="clear" w:color="auto" w:fill="FFFFFF"/>
        </w:rPr>
        <w:t>Закон о защите конкуренции) с предварительного согласия антимонопольного органа осуществляется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статьей 29 Закона о защите конкуренции,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shd w:val="clear" w:color="auto" w:fill="FFFFFF"/>
        </w:rPr>
        <w:t>Согласно части 1 статьи 29 Закона о защите конкуренции предварительному согласованию с антимонопольным органом подлежит, в том числе,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 если при этом стоимость активов финансовой организации по последнему балансу также превышает величину, установленную Правительством Российской Федерации.</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Соответствующие величины активов финансовых организаций, при превышении которых требуется получение предварительного согласия антимонопольного органа на совершение сделок, иных действий, предусмотренных статьями 27 и 29 Закона о защите конкуренции, установлены в постановлениях Правительства Российской Федерации от 30.05.2007 № 334 «Об установлении величин активов лизинговых организаций в целях осуществления антимонопольного контроля» и от 18.10.2014 № 1072 «Об установлении величин активов финансовых организаций, поднадзорных Центральному банку Российской Федерации, в целях осуществления антимонопольного контроля» соответственно.</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shd w:val="clear" w:color="auto" w:fill="FFFFFF"/>
        </w:rPr>
        <w:t>Указанными актами Правительства Российской Федерации также установлена величина активов финансовой организации (за исключением денежных средств), приобретаемых лицом (группой лиц) в результате одной сделки или нескольких сделок, при превышении которой требуется получение предварительного согласия антимонопольного органа, в размере 10% стоимости активов по последнему балансу финансовой организации.</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shd w:val="clear" w:color="auto" w:fill="FFFFFF"/>
        </w:rPr>
        <w:t>Таким образом, в случае, если создаваемое общество с ограниченной ответственностью в результате создания приобретет более 10% стоимости активов по</w:t>
      </w:r>
      <w:r w:rsidRPr="002D2B21">
        <w:rPr>
          <w:color w:val="000000"/>
          <w:sz w:val="26"/>
          <w:szCs w:val="26"/>
          <w:shd w:val="clear" w:color="auto" w:fill="FFFFFF"/>
        </w:rPr>
        <w:t xml:space="preserve"> последнему балансу создающей его финансовой организации, то такая сделка подлежит государственному контролю в соответствии со статьей 27 Закона о защите конкуренции и, следовательно, предварительное согласие антимонопольного органа на их осуществление необходимо.</w:t>
      </w:r>
    </w:p>
    <w:p w:rsidR="00983445" w:rsidRPr="002D2B21" w:rsidRDefault="00983445"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lastRenderedPageBreak/>
        <w:t xml:space="preserve">Одновременно </w:t>
      </w:r>
      <w:proofErr w:type="gramStart"/>
      <w:r w:rsidRPr="002D2B21">
        <w:rPr>
          <w:color w:val="000000"/>
          <w:sz w:val="26"/>
          <w:szCs w:val="26"/>
          <w:shd w:val="clear" w:color="auto" w:fill="FFFFFF"/>
        </w:rPr>
        <w:t>с этим статьей</w:t>
      </w:r>
      <w:proofErr w:type="gramEnd"/>
      <w:r w:rsidRPr="002D2B21">
        <w:rPr>
          <w:color w:val="000000"/>
          <w:sz w:val="26"/>
          <w:szCs w:val="26"/>
          <w:shd w:val="clear" w:color="auto" w:fill="FFFFFF"/>
        </w:rPr>
        <w:t xml:space="preserve"> 31 Закона о защите конкуренции установлены особенности контроля антимонопольного органа за экономической концентрацией, осуществляемой лицами, входящими в одну группу лиц.</w:t>
      </w:r>
    </w:p>
    <w:p w:rsidR="00983445" w:rsidRPr="002D2B21" w:rsidRDefault="00983445"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Как предусмотрено в части 1 указанной статьи, суть этих особенностей состоит в том, что сделки или иные действия, в отношении которых статей 27 и 29 Закона о защите конкуренции установлено требование о получении предварительного согласия антимонопольного органа, могут осуществляться без такого предварительного согласия, а лишь с последующим уведомлением антимонопольного органа в порядке, предусмотренном статьей 32 Закона о защите конкуренции, если соблюдаются в совокупности следующие три условия:</w:t>
      </w:r>
    </w:p>
    <w:p w:rsidR="00983445" w:rsidRPr="002D2B21" w:rsidRDefault="00983445" w:rsidP="002D2B21">
      <w:pPr>
        <w:pStyle w:val="a3"/>
        <w:suppressAutoHyphens/>
        <w:spacing w:before="0" w:beforeAutospacing="0" w:after="0"/>
        <w:ind w:firstLine="709"/>
        <w:jc w:val="both"/>
        <w:rPr>
          <w:sz w:val="26"/>
          <w:szCs w:val="26"/>
        </w:rPr>
      </w:pPr>
      <w:r w:rsidRPr="002D2B21">
        <w:rPr>
          <w:color w:val="000000"/>
          <w:sz w:val="26"/>
          <w:szCs w:val="26"/>
        </w:rPr>
        <w:t>1) сделки (действия) осуществляются лицами, входящими в группу по одному или нескольким основаниям, предусмотренным в части 1 статьи 9 Закона о защите конкуренции;</w:t>
      </w:r>
    </w:p>
    <w:p w:rsidR="00983445" w:rsidRPr="002D2B21" w:rsidRDefault="00983445" w:rsidP="002D2B21">
      <w:pPr>
        <w:pStyle w:val="a3"/>
        <w:suppressAutoHyphens/>
        <w:spacing w:before="0" w:beforeAutospacing="0" w:after="0"/>
        <w:ind w:firstLine="709"/>
        <w:jc w:val="both"/>
        <w:rPr>
          <w:sz w:val="26"/>
          <w:szCs w:val="26"/>
        </w:rPr>
      </w:pPr>
      <w:r w:rsidRPr="002D2B21">
        <w:rPr>
          <w:color w:val="000000"/>
          <w:sz w:val="26"/>
          <w:szCs w:val="26"/>
        </w:rPr>
        <w:t>2) не позднее чем за месяц до осуществления сделок (действий) в ФАС России был представлен перечень лиц, входящих в одну группу, составленный по форме, утвержденной ФАС России; перечень вправе представить любое лицо, входящее в группу, сведения о которой представляются в ФАС России;</w:t>
      </w:r>
    </w:p>
    <w:p w:rsidR="00983445" w:rsidRPr="002D2B21" w:rsidRDefault="00983445" w:rsidP="002D2B21">
      <w:pPr>
        <w:pStyle w:val="a3"/>
        <w:suppressAutoHyphens/>
        <w:spacing w:before="0" w:beforeAutospacing="0" w:after="0"/>
        <w:ind w:firstLine="709"/>
        <w:jc w:val="both"/>
        <w:rPr>
          <w:sz w:val="26"/>
          <w:szCs w:val="26"/>
        </w:rPr>
      </w:pPr>
      <w:r w:rsidRPr="002D2B21">
        <w:rPr>
          <w:color w:val="000000"/>
          <w:sz w:val="26"/>
          <w:szCs w:val="26"/>
        </w:rPr>
        <w:t>3) перечень лиц, входящих в одну группу, остался неизменным (по сравнению с перечнем, направленным в ФАС России) на момент осуществления сделки (действия).</w:t>
      </w:r>
    </w:p>
    <w:p w:rsidR="00916F94" w:rsidRPr="002D2B21" w:rsidRDefault="00983445" w:rsidP="0014207B">
      <w:pPr>
        <w:pStyle w:val="a3"/>
        <w:suppressAutoHyphens/>
        <w:spacing w:before="0" w:beforeAutospacing="0" w:after="0"/>
        <w:ind w:firstLine="709"/>
        <w:jc w:val="both"/>
        <w:rPr>
          <w:sz w:val="26"/>
          <w:szCs w:val="26"/>
        </w:rPr>
      </w:pPr>
      <w:r w:rsidRPr="002D2B21">
        <w:rPr>
          <w:color w:val="000000"/>
          <w:sz w:val="26"/>
          <w:szCs w:val="26"/>
        </w:rPr>
        <w:t xml:space="preserve">В отношении первого упомянутого выше условия важно отметить, что все лица, участвующие в соответствующих действиях или сделках, должны входить в одну группу лиц на момент направления в ФАС России перечня лиц, входящих в группу. Если это условие не соблюдено, положения </w:t>
      </w:r>
      <w:hyperlink r:id="rId7" w:tgtFrame="_top" w:history="1">
        <w:r w:rsidRPr="002D2B21">
          <w:rPr>
            <w:rStyle w:val="a9"/>
            <w:color w:val="000000"/>
            <w:sz w:val="26"/>
            <w:szCs w:val="26"/>
            <w:u w:val="none"/>
          </w:rPr>
          <w:t>статьи</w:t>
        </w:r>
      </w:hyperlink>
      <w:r w:rsidRPr="002D2B21">
        <w:rPr>
          <w:color w:val="000000"/>
          <w:sz w:val="26"/>
          <w:szCs w:val="26"/>
        </w:rPr>
        <w:t xml:space="preserve"> 31 Закона о защите конкуренции к сделкам или действиям, совершаемым такими лицами, будут неприменимы.</w:t>
      </w:r>
      <w:bookmarkStart w:id="0" w:name="_GoBack"/>
      <w:bookmarkEnd w:id="0"/>
    </w:p>
    <w:sectPr w:rsidR="00916F94" w:rsidRPr="002D2B21" w:rsidSect="00530AB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A87" w:rsidRDefault="00795A87" w:rsidP="007251EC">
      <w:pPr>
        <w:spacing w:after="0" w:line="240" w:lineRule="auto"/>
      </w:pPr>
      <w:r>
        <w:separator/>
      </w:r>
    </w:p>
  </w:endnote>
  <w:endnote w:type="continuationSeparator" w:id="0">
    <w:p w:rsidR="00795A87" w:rsidRDefault="00795A87" w:rsidP="0072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A87" w:rsidRDefault="00795A87" w:rsidP="007251EC">
      <w:pPr>
        <w:spacing w:after="0" w:line="240" w:lineRule="auto"/>
      </w:pPr>
      <w:r>
        <w:separator/>
      </w:r>
    </w:p>
  </w:footnote>
  <w:footnote w:type="continuationSeparator" w:id="0">
    <w:p w:rsidR="00795A87" w:rsidRDefault="00795A87" w:rsidP="00725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3784"/>
      <w:docPartObj>
        <w:docPartGallery w:val="Page Numbers (Top of Page)"/>
        <w:docPartUnique/>
      </w:docPartObj>
    </w:sdtPr>
    <w:sdtEndPr/>
    <w:sdtContent>
      <w:p w:rsidR="00530ABD" w:rsidRDefault="006415A3">
        <w:pPr>
          <w:pStyle w:val="a4"/>
          <w:jc w:val="center"/>
        </w:pPr>
        <w:r>
          <w:rPr>
            <w:noProof/>
          </w:rPr>
          <w:fldChar w:fldCharType="begin"/>
        </w:r>
        <w:r>
          <w:rPr>
            <w:noProof/>
          </w:rPr>
          <w:instrText xml:space="preserve"> PAGE   \* MERGEFORMAT </w:instrText>
        </w:r>
        <w:r>
          <w:rPr>
            <w:noProof/>
          </w:rPr>
          <w:fldChar w:fldCharType="separate"/>
        </w:r>
        <w:r w:rsidR="0014207B">
          <w:rPr>
            <w:noProof/>
          </w:rPr>
          <w:t>2</w:t>
        </w:r>
        <w:r>
          <w:rPr>
            <w:noProof/>
          </w:rPr>
          <w:fldChar w:fldCharType="end"/>
        </w:r>
      </w:p>
    </w:sdtContent>
  </w:sdt>
  <w:p w:rsidR="007251EC" w:rsidRDefault="007251E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EC"/>
    <w:rsid w:val="0008660D"/>
    <w:rsid w:val="00091F21"/>
    <w:rsid w:val="000A7888"/>
    <w:rsid w:val="000E580E"/>
    <w:rsid w:val="00105BD4"/>
    <w:rsid w:val="0014207B"/>
    <w:rsid w:val="00153AA5"/>
    <w:rsid w:val="001B3524"/>
    <w:rsid w:val="002C1DCB"/>
    <w:rsid w:val="002C799F"/>
    <w:rsid w:val="002D2B21"/>
    <w:rsid w:val="00313BD7"/>
    <w:rsid w:val="003309B0"/>
    <w:rsid w:val="003344A3"/>
    <w:rsid w:val="003D664A"/>
    <w:rsid w:val="00461DB3"/>
    <w:rsid w:val="004A31E3"/>
    <w:rsid w:val="004F766E"/>
    <w:rsid w:val="00530ABD"/>
    <w:rsid w:val="00632EA5"/>
    <w:rsid w:val="006415A3"/>
    <w:rsid w:val="0066689F"/>
    <w:rsid w:val="006E10A5"/>
    <w:rsid w:val="007251EC"/>
    <w:rsid w:val="0074380D"/>
    <w:rsid w:val="00766BE8"/>
    <w:rsid w:val="00773E9F"/>
    <w:rsid w:val="00795A87"/>
    <w:rsid w:val="007A58B5"/>
    <w:rsid w:val="008540A9"/>
    <w:rsid w:val="00875EA7"/>
    <w:rsid w:val="00891CF0"/>
    <w:rsid w:val="008959D0"/>
    <w:rsid w:val="008B430D"/>
    <w:rsid w:val="00916F94"/>
    <w:rsid w:val="00983445"/>
    <w:rsid w:val="009969B2"/>
    <w:rsid w:val="009C4EDD"/>
    <w:rsid w:val="009D3E77"/>
    <w:rsid w:val="009E204B"/>
    <w:rsid w:val="00A85B78"/>
    <w:rsid w:val="00AC33D5"/>
    <w:rsid w:val="00AE535B"/>
    <w:rsid w:val="00B4543E"/>
    <w:rsid w:val="00B97EF4"/>
    <w:rsid w:val="00C52BC5"/>
    <w:rsid w:val="00CD4307"/>
    <w:rsid w:val="00D047EF"/>
    <w:rsid w:val="00D10D67"/>
    <w:rsid w:val="00D15B6C"/>
    <w:rsid w:val="00D475AA"/>
    <w:rsid w:val="00D645B8"/>
    <w:rsid w:val="00D66F85"/>
    <w:rsid w:val="00D76B31"/>
    <w:rsid w:val="00D824B9"/>
    <w:rsid w:val="00DA61AC"/>
    <w:rsid w:val="00DC6802"/>
    <w:rsid w:val="00E53752"/>
    <w:rsid w:val="00E5671F"/>
    <w:rsid w:val="00EA4C82"/>
    <w:rsid w:val="00EF4D8D"/>
    <w:rsid w:val="00F17AD4"/>
    <w:rsid w:val="00F20DCA"/>
    <w:rsid w:val="00F34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933B7-5706-43C1-96AE-7CDEB7D3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E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7251EC"/>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251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51EC"/>
  </w:style>
  <w:style w:type="paragraph" w:styleId="a6">
    <w:name w:val="footer"/>
    <w:basedOn w:val="a"/>
    <w:link w:val="a7"/>
    <w:uiPriority w:val="99"/>
    <w:semiHidden/>
    <w:unhideWhenUsed/>
    <w:rsid w:val="007251E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251EC"/>
  </w:style>
  <w:style w:type="paragraph" w:styleId="a8">
    <w:name w:val="No Spacing"/>
    <w:uiPriority w:val="1"/>
    <w:qFormat/>
    <w:rsid w:val="00916F94"/>
    <w:pPr>
      <w:spacing w:after="0" w:line="240" w:lineRule="auto"/>
    </w:pPr>
  </w:style>
  <w:style w:type="character" w:styleId="a9">
    <w:name w:val="Hyperlink"/>
    <w:basedOn w:val="a0"/>
    <w:uiPriority w:val="99"/>
    <w:semiHidden/>
    <w:unhideWhenUsed/>
    <w:rsid w:val="00916F9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47873">
      <w:bodyDiv w:val="1"/>
      <w:marLeft w:val="0"/>
      <w:marRight w:val="0"/>
      <w:marTop w:val="0"/>
      <w:marBottom w:val="0"/>
      <w:divBdr>
        <w:top w:val="none" w:sz="0" w:space="0" w:color="auto"/>
        <w:left w:val="none" w:sz="0" w:space="0" w:color="auto"/>
        <w:bottom w:val="none" w:sz="0" w:space="0" w:color="auto"/>
        <w:right w:val="none" w:sz="0" w:space="0" w:color="auto"/>
      </w:divBdr>
    </w:div>
    <w:div w:id="654257622">
      <w:bodyDiv w:val="1"/>
      <w:marLeft w:val="0"/>
      <w:marRight w:val="0"/>
      <w:marTop w:val="0"/>
      <w:marBottom w:val="0"/>
      <w:divBdr>
        <w:top w:val="none" w:sz="0" w:space="0" w:color="auto"/>
        <w:left w:val="none" w:sz="0" w:space="0" w:color="auto"/>
        <w:bottom w:val="none" w:sz="0" w:space="0" w:color="auto"/>
        <w:right w:val="none" w:sz="0" w:space="0" w:color="auto"/>
      </w:divBdr>
    </w:div>
    <w:div w:id="1012535365">
      <w:bodyDiv w:val="1"/>
      <w:marLeft w:val="0"/>
      <w:marRight w:val="0"/>
      <w:marTop w:val="0"/>
      <w:marBottom w:val="0"/>
      <w:divBdr>
        <w:top w:val="none" w:sz="0" w:space="0" w:color="auto"/>
        <w:left w:val="none" w:sz="0" w:space="0" w:color="auto"/>
        <w:bottom w:val="none" w:sz="0" w:space="0" w:color="auto"/>
        <w:right w:val="none" w:sz="0" w:space="0" w:color="auto"/>
      </w:divBdr>
    </w:div>
    <w:div w:id="1489128782">
      <w:bodyDiv w:val="1"/>
      <w:marLeft w:val="0"/>
      <w:marRight w:val="0"/>
      <w:marTop w:val="0"/>
      <w:marBottom w:val="0"/>
      <w:divBdr>
        <w:top w:val="none" w:sz="0" w:space="0" w:color="auto"/>
        <w:left w:val="none" w:sz="0" w:space="0" w:color="auto"/>
        <w:bottom w:val="none" w:sz="0" w:space="0" w:color="auto"/>
        <w:right w:val="none" w:sz="0" w:space="0" w:color="auto"/>
      </w:divBdr>
    </w:div>
    <w:div w:id="190070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097E3570BE927D22908E80462E8D89141A9586E17C06EAF9F72ED78F3E496729140135D1D42B1E5c6i2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B3D37-B133-4C04-B522-1DFD9AC9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769</Words>
  <Characters>4386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skruzhechkin</dc:creator>
  <cp:lastModifiedBy>Кружечкин Станислав Владимирович</cp:lastModifiedBy>
  <cp:revision>8</cp:revision>
  <dcterms:created xsi:type="dcterms:W3CDTF">2018-11-15T08:32:00Z</dcterms:created>
  <dcterms:modified xsi:type="dcterms:W3CDTF">2019-01-09T11:51:00Z</dcterms:modified>
</cp:coreProperties>
</file>