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994A34" w:rsidRDefault="00B43091" w:rsidP="008C43DE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329E6">
        <w:rPr>
          <w:rFonts w:ascii="Times New Roman" w:hAnsi="Times New Roman" w:cs="Times New Roman"/>
          <w:b/>
          <w:noProof/>
          <w:sz w:val="28"/>
          <w:szCs w:val="28"/>
        </w:rPr>
        <w:t>Белгородской</w:t>
      </w:r>
      <w:r w:rsidR="001F5D1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366EA">
        <w:rPr>
          <w:rFonts w:ascii="Times New Roman" w:hAnsi="Times New Roman" w:cs="Times New Roman"/>
          <w:b/>
          <w:noProof/>
          <w:sz w:val="28"/>
          <w:szCs w:val="28"/>
        </w:rPr>
        <w:t>области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E522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="006274CF">
        <w:rPr>
          <w:rFonts w:ascii="Times New Roman" w:hAnsi="Times New Roman" w:cs="Times New Roman"/>
          <w:noProof/>
          <w:sz w:val="28"/>
          <w:szCs w:val="28"/>
        </w:rPr>
        <w:t>о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329E6">
        <w:rPr>
          <w:rFonts w:ascii="Times New Roman" w:hAnsi="Times New Roman" w:cs="Times New Roman"/>
          <w:b/>
          <w:noProof/>
          <w:sz w:val="28"/>
          <w:szCs w:val="28"/>
        </w:rPr>
        <w:t>Белгородской</w:t>
      </w:r>
      <w:r w:rsidR="00D953DD" w:rsidRPr="001F5D1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522BE" w:rsidRPr="000646BE">
        <w:rPr>
          <w:rFonts w:ascii="Times New Roman" w:hAnsi="Times New Roman" w:cs="Times New Roman"/>
          <w:b/>
          <w:noProof/>
          <w:sz w:val="28"/>
          <w:szCs w:val="28"/>
        </w:rPr>
        <w:t xml:space="preserve">области </w:t>
      </w:r>
      <w:r w:rsidRPr="000646BE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0646BE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E" w:rsidRPr="002A1C36" w:rsidRDefault="00E522BE" w:rsidP="00E522BE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ЦФО по результатам 2015 – 2016 годов в Рейтинге ФАС России и Рейтинге АЦ. </w:t>
      </w:r>
    </w:p>
    <w:tbl>
      <w:tblPr>
        <w:tblStyle w:val="1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60"/>
        <w:gridCol w:w="1417"/>
        <w:gridCol w:w="1559"/>
        <w:gridCol w:w="1560"/>
      </w:tblGrid>
      <w:tr w:rsidR="00E522BE" w:rsidRPr="002A1C36" w:rsidTr="002F3856">
        <w:tc>
          <w:tcPr>
            <w:tcW w:w="710" w:type="dxa"/>
            <w:vMerge w:val="restart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0" w:type="dxa"/>
            <w:vMerge w:val="restart"/>
          </w:tcPr>
          <w:p w:rsidR="00E522BE" w:rsidRPr="00507D0B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 РФ</w:t>
            </w:r>
            <w:r w:rsidR="00507D0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507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  <w:tc>
          <w:tcPr>
            <w:tcW w:w="2977" w:type="dxa"/>
            <w:gridSpan w:val="2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Рейтинге ФАС </w:t>
            </w:r>
          </w:p>
        </w:tc>
        <w:tc>
          <w:tcPr>
            <w:tcW w:w="3119" w:type="dxa"/>
            <w:gridSpan w:val="2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Рейтинге АЦ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22BE" w:rsidRPr="002A1C36" w:rsidTr="002F3856">
        <w:tc>
          <w:tcPr>
            <w:tcW w:w="710" w:type="dxa"/>
            <w:vMerge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E522BE" w:rsidRPr="002A1C36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417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2016 год </w:t>
            </w:r>
          </w:p>
        </w:tc>
      </w:tr>
      <w:tr w:rsidR="00E522BE" w:rsidRPr="007329E6" w:rsidTr="002F3856">
        <w:tc>
          <w:tcPr>
            <w:tcW w:w="710" w:type="dxa"/>
          </w:tcPr>
          <w:p w:rsidR="00E522BE" w:rsidRPr="007329E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329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329E6" w:rsidRDefault="00E522BE" w:rsidP="001B3EE6">
            <w:pPr>
              <w:ind w:right="-1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329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Белгородская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329E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329E6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7329E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329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E522BE" w:rsidRPr="007329E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329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</w:tcPr>
          <w:p w:rsidR="00E522BE" w:rsidRPr="007329E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329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E522BE" w:rsidRPr="006274CF" w:rsidTr="002F3856">
        <w:tc>
          <w:tcPr>
            <w:tcW w:w="710" w:type="dxa"/>
          </w:tcPr>
          <w:p w:rsidR="00E522BE" w:rsidRPr="006274CF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6274CF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Брянская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6274CF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6274CF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59" w:type="dxa"/>
          </w:tcPr>
          <w:p w:rsidR="00E522BE" w:rsidRPr="006274CF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60" w:type="dxa"/>
          </w:tcPr>
          <w:p w:rsidR="00E522BE" w:rsidRPr="006274CF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E522BE" w:rsidRPr="007329E6" w:rsidTr="002F3856">
        <w:tc>
          <w:tcPr>
            <w:tcW w:w="710" w:type="dxa"/>
          </w:tcPr>
          <w:p w:rsidR="00E522BE" w:rsidRPr="007329E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29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329E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29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Владимирская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329E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29E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7329E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29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59" w:type="dxa"/>
          </w:tcPr>
          <w:p w:rsidR="00E522BE" w:rsidRPr="007329E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29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60" w:type="dxa"/>
          </w:tcPr>
          <w:p w:rsidR="00E522BE" w:rsidRPr="007329E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29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Воронежская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6274CF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C0619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Ивановская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C0619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19-21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7C0619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45-47</w:t>
            </w:r>
          </w:p>
        </w:tc>
        <w:tc>
          <w:tcPr>
            <w:tcW w:w="1559" w:type="dxa"/>
          </w:tcPr>
          <w:p w:rsidR="00E522BE" w:rsidRPr="007C0619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60" w:type="dxa"/>
          </w:tcPr>
          <w:p w:rsidR="00E522BE" w:rsidRPr="007C0619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Калужская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73-75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49-51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1F5D14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1F5D14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Костромская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1F5D14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1F5D14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</w:tcPr>
          <w:p w:rsidR="00E522BE" w:rsidRPr="001F5D14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</w:tcPr>
          <w:p w:rsidR="00E522BE" w:rsidRPr="001F5D14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522BE" w:rsidRPr="002A1C36" w:rsidTr="002F3856">
        <w:trPr>
          <w:trHeight w:val="360"/>
        </w:trPr>
        <w:tc>
          <w:tcPr>
            <w:tcW w:w="710" w:type="dxa"/>
          </w:tcPr>
          <w:p w:rsidR="00E522BE" w:rsidRPr="002A1C36" w:rsidRDefault="002F3856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Липецкая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66-68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Орловская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Рязанская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E522BE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Тамбовская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68-69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Тверская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79-82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Тульская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Ярославская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36-38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</w:tbl>
    <w:p w:rsidR="00B4037F" w:rsidRDefault="00B4037F" w:rsidP="00B403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757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Белгородская</w:t>
      </w:r>
      <w:r w:rsidRPr="001F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6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7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ухудшила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</w:t>
      </w:r>
      <w:r w:rsidR="0075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ФАС России и в Рейтинге АЦ.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 w:rsidR="00757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настоящее время не сформирован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4037F" w:rsidRDefault="00B4037F" w:rsidP="00B4037F">
      <w:pPr>
        <w:pStyle w:val="ConsPlusNormal"/>
        <w:ind w:right="-1"/>
        <w:jc w:val="center"/>
      </w:pPr>
    </w:p>
    <w:p w:rsidR="004C70DB" w:rsidRPr="004D5A40" w:rsidRDefault="004C70DB" w:rsidP="004C7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0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  <w:r w:rsidRPr="004D5A40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(далее – Дорожная карта) и </w:t>
      </w:r>
      <w:r w:rsidRPr="004D5A40">
        <w:rPr>
          <w:rFonts w:ascii="Times New Roman" w:hAnsi="Times New Roman" w:cs="Times New Roman"/>
          <w:b/>
          <w:sz w:val="28"/>
          <w:szCs w:val="28"/>
        </w:rPr>
        <w:t>п</w:t>
      </w:r>
      <w:r w:rsidR="00B4037F" w:rsidRPr="004D5A40">
        <w:rPr>
          <w:rFonts w:ascii="Times New Roman" w:hAnsi="Times New Roman" w:cs="Times New Roman"/>
          <w:b/>
          <w:sz w:val="28"/>
          <w:szCs w:val="28"/>
          <w:lang w:eastAsia="ru-RU"/>
        </w:rPr>
        <w:t>еречень приоритетных и социально значимых рынков</w:t>
      </w:r>
      <w:r w:rsidR="00B4037F" w:rsidRPr="004D5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A40" w:rsidRPr="004D5A40">
        <w:rPr>
          <w:rFonts w:ascii="Times New Roman" w:hAnsi="Times New Roman" w:cs="Times New Roman"/>
          <w:sz w:val="28"/>
          <w:szCs w:val="28"/>
          <w:lang w:eastAsia="ru-RU"/>
        </w:rPr>
        <w:t>Белгородской</w:t>
      </w:r>
      <w:r w:rsidRPr="004D5A4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 w:rsidR="00B4037F" w:rsidRPr="004D5A40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r w:rsidRPr="004D5A4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4037F" w:rsidRPr="004D5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A40" w:rsidRPr="004D5A40">
        <w:rPr>
          <w:rFonts w:ascii="Times New Roman" w:hAnsi="Times New Roman" w:cs="Times New Roman"/>
          <w:sz w:val="28"/>
          <w:szCs w:val="28"/>
        </w:rPr>
        <w:t>распоряжением Губернатора Белгородской области от 9 марта 2016 года №</w:t>
      </w:r>
      <w:r w:rsidR="004D5A40">
        <w:rPr>
          <w:rFonts w:ascii="Times New Roman" w:hAnsi="Times New Roman" w:cs="Times New Roman"/>
          <w:sz w:val="28"/>
          <w:szCs w:val="28"/>
        </w:rPr>
        <w:t> </w:t>
      </w:r>
      <w:r w:rsidR="004D5A40" w:rsidRPr="004D5A40">
        <w:rPr>
          <w:rFonts w:ascii="Times New Roman" w:hAnsi="Times New Roman" w:cs="Times New Roman"/>
          <w:sz w:val="28"/>
          <w:szCs w:val="28"/>
        </w:rPr>
        <w:t>125-р</w:t>
      </w:r>
      <w:r w:rsidR="007C549C">
        <w:rPr>
          <w:rFonts w:ascii="Times New Roman" w:hAnsi="Times New Roman" w:cs="Times New Roman"/>
          <w:sz w:val="28"/>
          <w:szCs w:val="28"/>
        </w:rPr>
        <w:t xml:space="preserve"> (в ред. от 9 марта 2017 года №158-р, от 7 марта 2018 года №148-р)</w:t>
      </w:r>
      <w:r w:rsidRPr="004D5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A40" w:rsidRDefault="004C70DB" w:rsidP="004346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A40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Pr="004D5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A40" w:rsidRPr="004D5A40">
        <w:rPr>
          <w:rFonts w:ascii="Times New Roman" w:hAnsi="Times New Roman" w:cs="Times New Roman"/>
          <w:sz w:val="28"/>
          <w:szCs w:val="28"/>
          <w:lang w:eastAsia="ru-RU"/>
        </w:rPr>
        <w:t>Белгородской</w:t>
      </w:r>
      <w:r w:rsidRPr="004D5A4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 w:rsidR="00B4037F" w:rsidRPr="004D5A40">
        <w:rPr>
          <w:rFonts w:ascii="Times New Roman" w:hAnsi="Times New Roman" w:cs="Times New Roman"/>
          <w:sz w:val="28"/>
          <w:szCs w:val="28"/>
        </w:rPr>
        <w:t>содержит</w:t>
      </w:r>
      <w:r w:rsidR="004D5A40">
        <w:rPr>
          <w:rFonts w:ascii="Times New Roman" w:hAnsi="Times New Roman" w:cs="Times New Roman"/>
          <w:sz w:val="28"/>
          <w:szCs w:val="28"/>
        </w:rPr>
        <w:t xml:space="preserve"> </w:t>
      </w:r>
      <w:r w:rsidR="004D5A40" w:rsidRPr="004D5A40">
        <w:rPr>
          <w:rFonts w:ascii="Times New Roman" w:hAnsi="Times New Roman" w:cs="Times New Roman"/>
          <w:b/>
          <w:sz w:val="28"/>
          <w:szCs w:val="28"/>
        </w:rPr>
        <w:t>13 социально-значимых рынков</w:t>
      </w:r>
      <w:r w:rsidR="004D5A40">
        <w:rPr>
          <w:rFonts w:ascii="Times New Roman" w:hAnsi="Times New Roman" w:cs="Times New Roman"/>
          <w:sz w:val="28"/>
          <w:szCs w:val="28"/>
        </w:rPr>
        <w:t>:</w:t>
      </w:r>
      <w:r w:rsidR="00B4037F" w:rsidRPr="004D5A40">
        <w:rPr>
          <w:rFonts w:ascii="Times New Roman" w:hAnsi="Times New Roman" w:cs="Times New Roman"/>
          <w:sz w:val="28"/>
          <w:szCs w:val="28"/>
        </w:rPr>
        <w:t xml:space="preserve"> 11 рынков </w:t>
      </w:r>
      <w:r w:rsidR="00B4037F" w:rsidRPr="004D5A40">
        <w:rPr>
          <w:rFonts w:ascii="Times New Roman" w:hAnsi="Times New Roman" w:cs="Times New Roman"/>
          <w:sz w:val="28"/>
          <w:szCs w:val="28"/>
        </w:rPr>
        <w:lastRenderedPageBreak/>
        <w:t>из приложения к Стандарту развития конкуренции и</w:t>
      </w:r>
      <w:r w:rsidR="004D5A40">
        <w:rPr>
          <w:rFonts w:ascii="Times New Roman" w:hAnsi="Times New Roman" w:cs="Times New Roman"/>
          <w:sz w:val="28"/>
          <w:szCs w:val="28"/>
        </w:rPr>
        <w:t xml:space="preserve"> </w:t>
      </w:r>
      <w:r w:rsidR="004D5A40">
        <w:rPr>
          <w:rFonts w:ascii="Times New Roman" w:hAnsi="Times New Roman" w:cs="Times New Roman"/>
          <w:sz w:val="26"/>
          <w:szCs w:val="26"/>
        </w:rPr>
        <w:t>2 - с учётом региональной специфики:</w:t>
      </w:r>
    </w:p>
    <w:p w:rsidR="004D5A40" w:rsidRPr="004D5A40" w:rsidRDefault="004D5A40" w:rsidP="0043460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A40">
        <w:rPr>
          <w:rFonts w:ascii="Times New Roman" w:hAnsi="Times New Roman" w:cs="Times New Roman"/>
          <w:i/>
          <w:sz w:val="28"/>
          <w:szCs w:val="28"/>
        </w:rPr>
        <w:t xml:space="preserve">- Рынок стоматологических услуг, </w:t>
      </w:r>
    </w:p>
    <w:p w:rsidR="00B4037F" w:rsidRPr="004D5A40" w:rsidRDefault="004D5A40" w:rsidP="0043460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A40">
        <w:rPr>
          <w:rFonts w:ascii="Times New Roman" w:hAnsi="Times New Roman" w:cs="Times New Roman"/>
          <w:i/>
          <w:sz w:val="28"/>
          <w:szCs w:val="28"/>
        </w:rPr>
        <w:t>- Рынок диагностических медицинских услуг</w:t>
      </w:r>
      <w:r w:rsidR="00B4037F" w:rsidRPr="004D5A4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D5A40" w:rsidRPr="004D5A40" w:rsidRDefault="004D5A40" w:rsidP="00434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Перечень содержит </w:t>
      </w:r>
      <w:r w:rsidRPr="004D5A40">
        <w:rPr>
          <w:rFonts w:ascii="Times New Roman" w:hAnsi="Times New Roman" w:cs="Times New Roman"/>
          <w:b/>
          <w:sz w:val="28"/>
          <w:szCs w:val="28"/>
        </w:rPr>
        <w:t>11 приоритетных (дополнительных) рынков:</w:t>
      </w:r>
    </w:p>
    <w:p w:rsidR="004D5A40" w:rsidRPr="004D5A40" w:rsidRDefault="004D5A40" w:rsidP="004346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4D5A40">
        <w:rPr>
          <w:rFonts w:ascii="Times New Roman" w:hAnsi="Times New Roman" w:cs="Times New Roman"/>
          <w:i/>
          <w:sz w:val="28"/>
          <w:szCs w:val="28"/>
        </w:rPr>
        <w:t xml:space="preserve">Рынок </w:t>
      </w:r>
      <w:proofErr w:type="gramStart"/>
      <w:r w:rsidRPr="004D5A40">
        <w:rPr>
          <w:rFonts w:ascii="Times New Roman" w:hAnsi="Times New Roman" w:cs="Times New Roman"/>
          <w:i/>
          <w:sz w:val="28"/>
          <w:szCs w:val="28"/>
        </w:rPr>
        <w:t>плодово-овощной</w:t>
      </w:r>
      <w:proofErr w:type="gramEnd"/>
      <w:r w:rsidRPr="004D5A40">
        <w:rPr>
          <w:rFonts w:ascii="Times New Roman" w:hAnsi="Times New Roman" w:cs="Times New Roman"/>
          <w:i/>
          <w:sz w:val="28"/>
          <w:szCs w:val="28"/>
        </w:rPr>
        <w:t xml:space="preserve"> продукции;</w:t>
      </w:r>
    </w:p>
    <w:p w:rsidR="004D5A40" w:rsidRPr="004D5A40" w:rsidRDefault="004D5A40" w:rsidP="004346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4D5A40">
        <w:rPr>
          <w:rFonts w:ascii="Times New Roman" w:hAnsi="Times New Roman" w:cs="Times New Roman"/>
          <w:i/>
          <w:sz w:val="28"/>
          <w:szCs w:val="28"/>
        </w:rPr>
        <w:t>Рынок бытовых услуг и общественного питания;</w:t>
      </w:r>
    </w:p>
    <w:p w:rsidR="004D5A40" w:rsidRPr="004D5A40" w:rsidRDefault="004D5A40" w:rsidP="004346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4D5A40">
        <w:rPr>
          <w:rFonts w:ascii="Times New Roman" w:hAnsi="Times New Roman" w:cs="Times New Roman"/>
          <w:i/>
          <w:sz w:val="28"/>
          <w:szCs w:val="28"/>
        </w:rPr>
        <w:t>Рынок туризма», который дополнительно включён в состав рынка услуг в сфере культуры;</w:t>
      </w:r>
    </w:p>
    <w:p w:rsidR="004D5A40" w:rsidRPr="004D5A40" w:rsidRDefault="004D5A40" w:rsidP="004346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4D5A40">
        <w:rPr>
          <w:rFonts w:ascii="Times New Roman" w:hAnsi="Times New Roman" w:cs="Times New Roman"/>
          <w:i/>
          <w:sz w:val="28"/>
          <w:szCs w:val="28"/>
        </w:rPr>
        <w:t>Рынок IT-услуг</w:t>
      </w:r>
    </w:p>
    <w:p w:rsidR="004D5A40" w:rsidRPr="004D5A40" w:rsidRDefault="004D5A40" w:rsidP="004346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4D5A40">
        <w:rPr>
          <w:rFonts w:ascii="Times New Roman" w:hAnsi="Times New Roman" w:cs="Times New Roman"/>
          <w:i/>
          <w:sz w:val="28"/>
          <w:szCs w:val="28"/>
        </w:rPr>
        <w:t>Рынок строительства жилья;</w:t>
      </w:r>
    </w:p>
    <w:p w:rsidR="004D5A40" w:rsidRPr="004D5A40" w:rsidRDefault="004D5A40" w:rsidP="004346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4D5A40">
        <w:rPr>
          <w:rFonts w:ascii="Times New Roman" w:hAnsi="Times New Roman" w:cs="Times New Roman"/>
          <w:i/>
          <w:sz w:val="28"/>
          <w:szCs w:val="28"/>
        </w:rPr>
        <w:t>Рынок производства строительных материалов</w:t>
      </w:r>
    </w:p>
    <w:p w:rsidR="004D5A40" w:rsidRPr="004D5A40" w:rsidRDefault="004D5A40" w:rsidP="004346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4D5A40">
        <w:rPr>
          <w:rFonts w:ascii="Times New Roman" w:hAnsi="Times New Roman" w:cs="Times New Roman"/>
          <w:i/>
          <w:sz w:val="28"/>
          <w:szCs w:val="28"/>
        </w:rPr>
        <w:t>Рынок производства сельскохозяйственного машиностроения</w:t>
      </w:r>
    </w:p>
    <w:p w:rsidR="004D5A40" w:rsidRPr="004D5A40" w:rsidRDefault="004D5A40" w:rsidP="004346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Pr="004D5A40">
        <w:rPr>
          <w:rFonts w:ascii="Times New Roman" w:hAnsi="Times New Roman" w:cs="Times New Roman"/>
          <w:i/>
          <w:sz w:val="28"/>
          <w:szCs w:val="28"/>
        </w:rPr>
        <w:t>Рынок производства энергетического машиностроения (котельного производства)</w:t>
      </w:r>
    </w:p>
    <w:p w:rsidR="004D5A40" w:rsidRPr="004D5A40" w:rsidRDefault="004D5A40" w:rsidP="004346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Pr="004D5A40">
        <w:rPr>
          <w:rFonts w:ascii="Times New Roman" w:hAnsi="Times New Roman" w:cs="Times New Roman"/>
          <w:i/>
          <w:sz w:val="28"/>
          <w:szCs w:val="28"/>
        </w:rPr>
        <w:t>Рынок производства биофармацевтической продукции</w:t>
      </w:r>
    </w:p>
    <w:p w:rsidR="004D5A40" w:rsidRPr="004D5A40" w:rsidRDefault="004D5A40" w:rsidP="004346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</w:t>
      </w:r>
      <w:r w:rsidRPr="004D5A40">
        <w:rPr>
          <w:rFonts w:ascii="Times New Roman" w:hAnsi="Times New Roman" w:cs="Times New Roman"/>
          <w:i/>
          <w:sz w:val="28"/>
          <w:szCs w:val="28"/>
        </w:rPr>
        <w:t>Рынок молока и молочной продукции</w:t>
      </w:r>
    </w:p>
    <w:p w:rsidR="00952A74" w:rsidRDefault="004D5A40" w:rsidP="0043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11. </w:t>
      </w:r>
      <w:r w:rsidRPr="004D5A40">
        <w:rPr>
          <w:rFonts w:ascii="Times New Roman" w:hAnsi="Times New Roman" w:cs="Times New Roman"/>
          <w:i/>
          <w:sz w:val="28"/>
          <w:szCs w:val="28"/>
        </w:rPr>
        <w:t>Рынок кормовых добавок и компонентов для кормопроизводства</w:t>
      </w:r>
    </w:p>
    <w:p w:rsidR="004D5A40" w:rsidRDefault="004D5A40" w:rsidP="0043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59" w:rsidRPr="0043460C" w:rsidRDefault="003B4A59" w:rsidP="00434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60C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9C76B9" w:rsidRPr="0043460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C39F1" w:rsidRPr="0043460C">
        <w:rPr>
          <w:rFonts w:ascii="Times New Roman" w:hAnsi="Times New Roman" w:cs="Times New Roman"/>
          <w:b/>
          <w:iCs/>
          <w:sz w:val="24"/>
          <w:szCs w:val="24"/>
        </w:rPr>
        <w:t>(далее – Сведения</w:t>
      </w:r>
      <w:r w:rsidR="004C70DB" w:rsidRPr="0043460C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9916FA" w:rsidRPr="0043460C">
        <w:rPr>
          <w:rFonts w:ascii="Times New Roman" w:hAnsi="Times New Roman" w:cs="Times New Roman"/>
          <w:b/>
          <w:iCs/>
          <w:sz w:val="24"/>
          <w:szCs w:val="24"/>
        </w:rPr>
        <w:t xml:space="preserve"> прилагаются</w:t>
      </w:r>
      <w:r w:rsidR="004C70DB" w:rsidRPr="0043460C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C39F1" w:rsidRPr="0043460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0D48C5" w:rsidRPr="0043460C" w:rsidRDefault="000D48C5" w:rsidP="00434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0D48C5" w:rsidRPr="0043460C" w:rsidRDefault="000D48C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3460C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43460C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0D48C5" w:rsidRPr="0043460C" w:rsidRDefault="000D48C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346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 w:rsidRPr="004346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соответственно,  в</w:t>
      </w:r>
      <w:proofErr w:type="gramEnd"/>
      <w:r w:rsidRPr="004346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представляемых регионами Сведениях.</w:t>
      </w:r>
    </w:p>
    <w:p w:rsidR="000D48C5" w:rsidRPr="0043460C" w:rsidRDefault="000D48C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60C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 w:rsidRPr="0043460C">
        <w:rPr>
          <w:rFonts w:ascii="Times New Roman" w:hAnsi="Times New Roman" w:cs="Times New Roman"/>
          <w:b/>
          <w:sz w:val="24"/>
          <w:szCs w:val="24"/>
        </w:rPr>
        <w:t xml:space="preserve">указано на </w:t>
      </w:r>
      <w:proofErr w:type="gramStart"/>
      <w:r w:rsidRPr="0043460C">
        <w:rPr>
          <w:rFonts w:ascii="Times New Roman" w:hAnsi="Times New Roman" w:cs="Times New Roman"/>
          <w:b/>
          <w:sz w:val="24"/>
          <w:szCs w:val="24"/>
        </w:rPr>
        <w:t>наличие  другого</w:t>
      </w:r>
      <w:proofErr w:type="gramEnd"/>
      <w:r w:rsidRPr="0043460C">
        <w:rPr>
          <w:rFonts w:ascii="Times New Roman" w:hAnsi="Times New Roman" w:cs="Times New Roman"/>
          <w:b/>
          <w:sz w:val="24"/>
          <w:szCs w:val="24"/>
        </w:rPr>
        <w:t xml:space="preserve"> показателя </w:t>
      </w:r>
      <w:r w:rsidRPr="004346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43460C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43460C">
        <w:rPr>
          <w:rFonts w:ascii="Times New Roman" w:hAnsi="Times New Roman" w:cs="Times New Roman"/>
          <w:sz w:val="24"/>
          <w:szCs w:val="24"/>
        </w:rPr>
        <w:t>).</w:t>
      </w:r>
      <w:r w:rsidRPr="0043460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48C5" w:rsidRPr="0043460C" w:rsidRDefault="000D48C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60C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43460C" w:rsidRDefault="000D48C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60C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43460C" w:rsidRDefault="000D48C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60C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43460C" w:rsidRDefault="000D48C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60C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43460C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43460C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43460C" w:rsidRDefault="000D48C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43460C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 </w:t>
      </w:r>
      <w:r w:rsidRPr="0043460C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43460C" w:rsidRDefault="000D48C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3460C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43460C" w:rsidRPr="002E7C52" w:rsidRDefault="002E7C52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Все, установленные Дорожной картой целевые значения показателей достигнуты.</w:t>
      </w:r>
    </w:p>
    <w:p w:rsidR="0043460C" w:rsidRPr="0043460C" w:rsidRDefault="0043460C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C52" w:rsidRDefault="002E7C52" w:rsidP="002E7C52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C52">
        <w:rPr>
          <w:rFonts w:ascii="Times New Roman" w:hAnsi="Times New Roman" w:cs="Times New Roman"/>
          <w:b/>
          <w:sz w:val="28"/>
          <w:szCs w:val="28"/>
        </w:rPr>
        <w:t>Наименования п</w:t>
      </w:r>
      <w:r w:rsidR="0071223B" w:rsidRPr="002E7C52">
        <w:rPr>
          <w:rFonts w:ascii="Times New Roman" w:hAnsi="Times New Roman" w:cs="Times New Roman"/>
          <w:b/>
          <w:sz w:val="28"/>
          <w:szCs w:val="28"/>
        </w:rPr>
        <w:t>оказател</w:t>
      </w:r>
      <w:r w:rsidRPr="002E7C52">
        <w:rPr>
          <w:rFonts w:ascii="Times New Roman" w:hAnsi="Times New Roman" w:cs="Times New Roman"/>
          <w:b/>
          <w:sz w:val="28"/>
          <w:szCs w:val="28"/>
        </w:rPr>
        <w:t>ей</w:t>
      </w:r>
      <w:r w:rsidR="0071223B" w:rsidRPr="002E7C52">
        <w:rPr>
          <w:rFonts w:ascii="Times New Roman" w:hAnsi="Times New Roman" w:cs="Times New Roman"/>
          <w:sz w:val="28"/>
          <w:szCs w:val="28"/>
        </w:rPr>
        <w:t xml:space="preserve"> по</w:t>
      </w:r>
      <w:r w:rsidRPr="002E7C52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71223B" w:rsidRPr="002E7C52">
        <w:rPr>
          <w:rFonts w:ascii="Times New Roman" w:hAnsi="Times New Roman" w:cs="Times New Roman"/>
          <w:sz w:val="28"/>
          <w:szCs w:val="28"/>
        </w:rPr>
        <w:t xml:space="preserve"> рынкам </w:t>
      </w:r>
      <w:r w:rsidRPr="002E7C52">
        <w:rPr>
          <w:rFonts w:ascii="Times New Roman" w:hAnsi="Times New Roman" w:cs="Times New Roman"/>
          <w:sz w:val="28"/>
          <w:szCs w:val="28"/>
        </w:rPr>
        <w:t xml:space="preserve">в </w:t>
      </w:r>
      <w:r w:rsidR="0071223B" w:rsidRPr="002E7C52">
        <w:rPr>
          <w:rFonts w:ascii="Times New Roman" w:hAnsi="Times New Roman" w:cs="Times New Roman"/>
          <w:sz w:val="28"/>
          <w:szCs w:val="28"/>
        </w:rPr>
        <w:t>Дорожной карт</w:t>
      </w:r>
      <w:r w:rsidRPr="002E7C52">
        <w:rPr>
          <w:rFonts w:ascii="Times New Roman" w:hAnsi="Times New Roman" w:cs="Times New Roman"/>
          <w:sz w:val="28"/>
          <w:szCs w:val="28"/>
        </w:rPr>
        <w:t>е</w:t>
      </w:r>
      <w:r w:rsidR="0071223B" w:rsidRPr="002E7C52">
        <w:rPr>
          <w:rFonts w:ascii="Times New Roman" w:hAnsi="Times New Roman" w:cs="Times New Roman"/>
          <w:sz w:val="28"/>
          <w:szCs w:val="28"/>
        </w:rPr>
        <w:t xml:space="preserve"> </w:t>
      </w:r>
      <w:r w:rsidRPr="002E7C52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Pr="002E7C52">
        <w:rPr>
          <w:rFonts w:ascii="Times New Roman" w:hAnsi="Times New Roman" w:cs="Times New Roman"/>
          <w:b/>
          <w:sz w:val="28"/>
          <w:szCs w:val="28"/>
        </w:rPr>
        <w:t>не совпадают с установленными Стандартом</w:t>
      </w:r>
      <w:r w:rsidRPr="002E7C52">
        <w:rPr>
          <w:rFonts w:ascii="Times New Roman" w:hAnsi="Times New Roman" w:cs="Times New Roman"/>
          <w:sz w:val="28"/>
          <w:szCs w:val="28"/>
        </w:rPr>
        <w:t xml:space="preserve">, </w:t>
      </w:r>
      <w:r w:rsidR="00697A23" w:rsidRPr="002E7C52">
        <w:rPr>
          <w:rFonts w:ascii="Times New Roman" w:hAnsi="Times New Roman" w:cs="Times New Roman"/>
          <w:b/>
          <w:sz w:val="28"/>
          <w:szCs w:val="28"/>
        </w:rPr>
        <w:t>однако</w:t>
      </w:r>
      <w:r w:rsidR="00697A23" w:rsidRPr="002E7C52">
        <w:rPr>
          <w:rFonts w:ascii="Times New Roman" w:hAnsi="Times New Roman" w:cs="Times New Roman"/>
          <w:sz w:val="28"/>
          <w:szCs w:val="28"/>
        </w:rPr>
        <w:t xml:space="preserve"> по рынку</w:t>
      </w:r>
      <w:r w:rsidR="00697A23" w:rsidRPr="002E7C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7A23" w:rsidRPr="002E7C52">
        <w:rPr>
          <w:rFonts w:ascii="Times New Roman" w:hAnsi="Times New Roman" w:cs="Times New Roman"/>
          <w:b/>
          <w:sz w:val="28"/>
          <w:szCs w:val="28"/>
        </w:rPr>
        <w:t>имеются</w:t>
      </w:r>
      <w:r w:rsidR="00697A23" w:rsidRPr="002E7C52">
        <w:rPr>
          <w:rFonts w:ascii="Times New Roman" w:hAnsi="Times New Roman" w:cs="Times New Roman"/>
          <w:b/>
          <w:i/>
          <w:sz w:val="28"/>
          <w:szCs w:val="28"/>
        </w:rPr>
        <w:t xml:space="preserve"> другие показатели</w:t>
      </w:r>
      <w:r w:rsidRPr="002E7C5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2E7C52">
        <w:rPr>
          <w:rFonts w:ascii="Times New Roman" w:hAnsi="Times New Roman" w:cs="Times New Roman"/>
          <w:sz w:val="24"/>
          <w:szCs w:val="24"/>
        </w:rPr>
        <w:t>близкие по смыслу</w:t>
      </w:r>
      <w:r w:rsidR="00697A23" w:rsidRPr="002E7C5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5B99" w:rsidRPr="00515B99" w:rsidRDefault="002E7C52" w:rsidP="002E7C52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5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детского отдыха и оздоровления (таблица 2);</w:t>
      </w:r>
    </w:p>
    <w:p w:rsidR="002E7C52" w:rsidRPr="009743C2" w:rsidRDefault="00515B99" w:rsidP="002E7C52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региона: </w:t>
      </w:r>
      <w:r w:rsidRPr="009743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охвата оздоровленных детей Белгородской области в детских оздоровительных учреждениях различного типа</w:t>
      </w:r>
    </w:p>
    <w:p w:rsidR="002E7C52" w:rsidRDefault="002E7C52" w:rsidP="002E7C52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5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психолого-педагогического сопровождения детей с ограниченными возможностями здоровья (таблица 5);</w:t>
      </w:r>
    </w:p>
    <w:p w:rsidR="00515B99" w:rsidRPr="00515B99" w:rsidRDefault="00515B99" w:rsidP="002E7C52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5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региона</w:t>
      </w:r>
      <w:r w:rsidRPr="0097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743C2" w:rsidRPr="009743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субъектов негосударственного сектора, оказывающих услуги психологического, логопедического и дефектологического сопровождения детей в возрасте до 8 лет, в общем количестве дошкольных образовательных организаций, оказывающих услуги психологического, логопедического и дефектологического сопровождения детей в возрасте до 8 лет</w:t>
      </w:r>
    </w:p>
    <w:p w:rsidR="002E7C52" w:rsidRPr="00515B99" w:rsidRDefault="002E7C52" w:rsidP="002E7C52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5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связи (таблица 11);</w:t>
      </w:r>
    </w:p>
    <w:p w:rsidR="0071223B" w:rsidRPr="009743C2" w:rsidRDefault="009743C2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региона: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43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населения, имеющего возможность пользоваться услугами проводного или мобильного широкополосного доступа к информационно-телекоммуникационной сети Интернет на скорости не менее 1 Мбит/сек</w:t>
      </w:r>
    </w:p>
    <w:p w:rsidR="0043460C" w:rsidRDefault="0043460C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460C" w:rsidRDefault="009743C2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Показатель по рынку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 жилищно-коммунального хозяйства (таблица 7)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 которому проводилось формирование </w:t>
      </w:r>
      <w:r w:rsidRPr="009743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обобщенных Сведений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 установлен Дорожной картой региона. Вместе с тем</w:t>
      </w:r>
      <w:r w:rsidR="00671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необходимо отметить, что на указанном рынке установлено 7 показателей с целевыми значениями</w:t>
      </w:r>
      <w:r w:rsidR="00006A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6 из которых достигнуты</w:t>
      </w:r>
      <w:bookmarkStart w:id="0" w:name="_GoBack"/>
      <w:bookmarkEnd w:id="0"/>
      <w:r w:rsidR="00671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460C" w:rsidRPr="00697A23" w:rsidRDefault="0043460C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3460C" w:rsidRPr="00697A23" w:rsidSect="00057B4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5DDD"/>
    <w:multiLevelType w:val="hybridMultilevel"/>
    <w:tmpl w:val="508A4CDC"/>
    <w:lvl w:ilvl="0" w:tplc="E9366D1A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F5E39"/>
    <w:multiLevelType w:val="hybridMultilevel"/>
    <w:tmpl w:val="F00EFBEE"/>
    <w:lvl w:ilvl="0" w:tplc="038EC6DE">
      <w:start w:val="5"/>
      <w:numFmt w:val="decimal"/>
      <w:lvlText w:val="%1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45BE46A4"/>
    <w:multiLevelType w:val="hybridMultilevel"/>
    <w:tmpl w:val="F11A25CA"/>
    <w:lvl w:ilvl="0" w:tplc="A38A6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C29F5"/>
    <w:multiLevelType w:val="hybridMultilevel"/>
    <w:tmpl w:val="C8D424C4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06A19"/>
    <w:rsid w:val="000201DB"/>
    <w:rsid w:val="00022D57"/>
    <w:rsid w:val="000301B6"/>
    <w:rsid w:val="000477A2"/>
    <w:rsid w:val="00057B48"/>
    <w:rsid w:val="000646BE"/>
    <w:rsid w:val="000D48C5"/>
    <w:rsid w:val="00101D2F"/>
    <w:rsid w:val="001440FF"/>
    <w:rsid w:val="0015089B"/>
    <w:rsid w:val="001A2E1F"/>
    <w:rsid w:val="001D7004"/>
    <w:rsid w:val="001E1262"/>
    <w:rsid w:val="001F5D14"/>
    <w:rsid w:val="00207435"/>
    <w:rsid w:val="002353A5"/>
    <w:rsid w:val="002523D0"/>
    <w:rsid w:val="00292FC9"/>
    <w:rsid w:val="002A2E5B"/>
    <w:rsid w:val="002B1BB5"/>
    <w:rsid w:val="002C39F1"/>
    <w:rsid w:val="002E240B"/>
    <w:rsid w:val="002E7C52"/>
    <w:rsid w:val="002F3856"/>
    <w:rsid w:val="002F53EB"/>
    <w:rsid w:val="003100D6"/>
    <w:rsid w:val="00365F55"/>
    <w:rsid w:val="003A27A0"/>
    <w:rsid w:val="003B4A59"/>
    <w:rsid w:val="003E4C91"/>
    <w:rsid w:val="003F6F53"/>
    <w:rsid w:val="0043460C"/>
    <w:rsid w:val="00442382"/>
    <w:rsid w:val="004574C3"/>
    <w:rsid w:val="004A5D0B"/>
    <w:rsid w:val="004C70DB"/>
    <w:rsid w:val="004D5A40"/>
    <w:rsid w:val="00505BED"/>
    <w:rsid w:val="00507D0B"/>
    <w:rsid w:val="00511E8E"/>
    <w:rsid w:val="00515B99"/>
    <w:rsid w:val="005449F5"/>
    <w:rsid w:val="005A7CEB"/>
    <w:rsid w:val="005D54EB"/>
    <w:rsid w:val="005F7072"/>
    <w:rsid w:val="006274CF"/>
    <w:rsid w:val="00641F1A"/>
    <w:rsid w:val="00646AE1"/>
    <w:rsid w:val="00671D55"/>
    <w:rsid w:val="0067249D"/>
    <w:rsid w:val="00697A23"/>
    <w:rsid w:val="006A71E9"/>
    <w:rsid w:val="0071223B"/>
    <w:rsid w:val="007329E6"/>
    <w:rsid w:val="007511FE"/>
    <w:rsid w:val="007571BC"/>
    <w:rsid w:val="007C0619"/>
    <w:rsid w:val="007C549C"/>
    <w:rsid w:val="0083111D"/>
    <w:rsid w:val="008834B7"/>
    <w:rsid w:val="008C43DE"/>
    <w:rsid w:val="008D1751"/>
    <w:rsid w:val="008D60EF"/>
    <w:rsid w:val="008E4EC3"/>
    <w:rsid w:val="008F3D30"/>
    <w:rsid w:val="0091644C"/>
    <w:rsid w:val="00935572"/>
    <w:rsid w:val="009366EA"/>
    <w:rsid w:val="00952A74"/>
    <w:rsid w:val="009743C2"/>
    <w:rsid w:val="009916FA"/>
    <w:rsid w:val="00992FB0"/>
    <w:rsid w:val="009C76B9"/>
    <w:rsid w:val="00A041C6"/>
    <w:rsid w:val="00A16250"/>
    <w:rsid w:val="00AA6553"/>
    <w:rsid w:val="00AB3A26"/>
    <w:rsid w:val="00B05381"/>
    <w:rsid w:val="00B32D91"/>
    <w:rsid w:val="00B4037F"/>
    <w:rsid w:val="00B43091"/>
    <w:rsid w:val="00B708E8"/>
    <w:rsid w:val="00B714FE"/>
    <w:rsid w:val="00BC0EDA"/>
    <w:rsid w:val="00BC123E"/>
    <w:rsid w:val="00BE1C2F"/>
    <w:rsid w:val="00BF5CAF"/>
    <w:rsid w:val="00C04B78"/>
    <w:rsid w:val="00C258EF"/>
    <w:rsid w:val="00C275E0"/>
    <w:rsid w:val="00C352BC"/>
    <w:rsid w:val="00C50E7E"/>
    <w:rsid w:val="00C86A77"/>
    <w:rsid w:val="00CA4335"/>
    <w:rsid w:val="00CB3783"/>
    <w:rsid w:val="00CB788F"/>
    <w:rsid w:val="00D22966"/>
    <w:rsid w:val="00D336D7"/>
    <w:rsid w:val="00D76B27"/>
    <w:rsid w:val="00D953DD"/>
    <w:rsid w:val="00DA323A"/>
    <w:rsid w:val="00E17F12"/>
    <w:rsid w:val="00E522BE"/>
    <w:rsid w:val="00F06696"/>
    <w:rsid w:val="00F47A97"/>
    <w:rsid w:val="00F87C70"/>
    <w:rsid w:val="00FB2D7C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D54EB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22B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22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22B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522B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5780-21A0-4CBE-893E-AE82F096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13</cp:revision>
  <cp:lastPrinted>2018-06-15T09:20:00Z</cp:lastPrinted>
  <dcterms:created xsi:type="dcterms:W3CDTF">2018-07-30T12:49:00Z</dcterms:created>
  <dcterms:modified xsi:type="dcterms:W3CDTF">2018-07-31T15:41:00Z</dcterms:modified>
</cp:coreProperties>
</file>