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75280">
        <w:rPr>
          <w:rFonts w:ascii="Times New Roman" w:hAnsi="Times New Roman" w:cs="Times New Roman"/>
          <w:b/>
          <w:noProof/>
          <w:sz w:val="28"/>
          <w:szCs w:val="28"/>
        </w:rPr>
        <w:t>Приморского края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142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5A1429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5A1429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275280" w:rsidRPr="00BF08EB">
        <w:rPr>
          <w:rFonts w:ascii="Times New Roman" w:hAnsi="Times New Roman" w:cs="Times New Roman"/>
          <w:noProof/>
          <w:sz w:val="28"/>
          <w:szCs w:val="28"/>
        </w:rPr>
        <w:t>Приморского края</w:t>
      </w:r>
      <w:r w:rsidR="00BA4F52" w:rsidRPr="00BF08EB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BF08EB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9043E1" w:rsidTr="000F13C5">
        <w:trPr>
          <w:trHeight w:val="701"/>
        </w:trPr>
        <w:tc>
          <w:tcPr>
            <w:tcW w:w="710" w:type="dxa"/>
            <w:vAlign w:val="center"/>
          </w:tcPr>
          <w:p w:rsidR="00907920" w:rsidRPr="009043E1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9043E1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43E1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43E1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43E1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E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907920" w:rsidTr="000F13C5">
        <w:trPr>
          <w:trHeight w:val="560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9043E1">
        <w:rPr>
          <w:rFonts w:ascii="Times New Roman" w:hAnsi="Times New Roman" w:cs="Times New Roman"/>
          <w:noProof/>
          <w:sz w:val="28"/>
          <w:szCs w:val="28"/>
        </w:rPr>
        <w:t>Приморский край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904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еще не сформирован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90792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карта») 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</w:t>
      </w:r>
      <w:r w:rsidR="009043E1"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2F507A"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губернатора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3E1" w:rsidRP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2016 г. </w:t>
      </w:r>
      <w:r w:rsid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43E1" w:rsidRPr="0090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88-рг</w:t>
      </w:r>
      <w:r w:rsid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708C5" w:rsidRDefault="00907920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для содействия развитию конкуренции в </w:t>
      </w:r>
      <w:r w:rsidR="002F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Приморском крае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распоряжением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>56-рг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3A">
        <w:rPr>
          <w:rFonts w:ascii="Times New Roman" w:hAnsi="Times New Roman" w:cs="Times New Roman"/>
          <w:sz w:val="28"/>
          <w:szCs w:val="28"/>
        </w:rPr>
        <w:t>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>) рын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08C5" w:rsidRPr="00D5006F">
        <w:rPr>
          <w:rFonts w:ascii="Times New Roman" w:hAnsi="Times New Roman" w:cs="Times New Roman"/>
          <w:sz w:val="28"/>
          <w:szCs w:val="28"/>
        </w:rPr>
        <w:t>к:</w:t>
      </w:r>
    </w:p>
    <w:p w:rsidR="00BC5E81" w:rsidRPr="002F507A" w:rsidRDefault="002F507A" w:rsidP="00C808D5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</w:t>
      </w:r>
      <w:r w:rsidR="005A1429" w:rsidRPr="002F507A">
        <w:rPr>
          <w:rFonts w:ascii="Times New Roman" w:eastAsia="Times New Roman" w:hAnsi="Times New Roman"/>
          <w:i/>
          <w:sz w:val="28"/>
          <w:szCs w:val="28"/>
        </w:rPr>
        <w:t xml:space="preserve">ынок </w:t>
      </w:r>
      <w:r w:rsidRPr="002F507A">
        <w:rPr>
          <w:rFonts w:ascii="Times New Roman" w:eastAsia="Times New Roman" w:hAnsi="Times New Roman"/>
          <w:i/>
          <w:sz w:val="28"/>
          <w:szCs w:val="28"/>
        </w:rPr>
        <w:t>розничной торговли фармацевтической</w:t>
      </w:r>
      <w:r w:rsidR="005A1429" w:rsidRPr="002F507A">
        <w:rPr>
          <w:rFonts w:ascii="Times New Roman" w:eastAsia="Times New Roman" w:hAnsi="Times New Roman"/>
          <w:i/>
          <w:sz w:val="28"/>
          <w:szCs w:val="28"/>
        </w:rPr>
        <w:t xml:space="preserve"> продукции</w:t>
      </w:r>
      <w:r w:rsidR="00794990" w:rsidRPr="002F507A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7A" w:rsidRPr="002F507A" w:rsidRDefault="002F507A" w:rsidP="002F50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</w:t>
      </w:r>
      <w:r w:rsidRPr="002F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следующим рынкам / системным мероприятиям: 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67266F" w:rsidRPr="001457C3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67266F" w:rsidRDefault="0067266F" w:rsidP="00672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2F507A" w:rsidRPr="002F507A" w:rsidRDefault="002F507A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7A" w:rsidRDefault="004D4E72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показателям </w:t>
      </w:r>
      <w:r w:rsidRPr="004D4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4D4E72" w:rsidRPr="001457C3" w:rsidRDefault="004D4E72" w:rsidP="004D4E7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(таблица 5);</w:t>
      </w:r>
    </w:p>
    <w:p w:rsidR="004D4E72" w:rsidRPr="001457C3" w:rsidRDefault="004D4E72" w:rsidP="004D4E7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рынок услуг жилищно-коммунального хозяйства (таблица 7);</w:t>
      </w:r>
    </w:p>
    <w:p w:rsidR="004D4E72" w:rsidRDefault="004D4E72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 указанных рынках включены в Дорожную карту региона, однако, по показателю рынка</w:t>
      </w:r>
      <w:r w:rsidRPr="004D4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</w:t>
      </w:r>
      <w:r w:rsid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</w:t>
      </w:r>
      <w:r w:rsid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есть мероприятия по </w:t>
      </w:r>
      <w:r w:rsid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016" w:rsidRDefault="00196016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значения показателя по 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жилищно-коммунального хозяйства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ф</w:t>
      </w:r>
      <w:r w:rsidRP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2C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картой региона на 2018 год.</w:t>
      </w:r>
    </w:p>
    <w:p w:rsidR="00196016" w:rsidRDefault="00196016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16" w:rsidRPr="00196016" w:rsidRDefault="00196016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картой региона не запланировано целевое значение показателя, при запланированных мероприятиях по реализации показателя, однако в Докладе Приморского края представлено фактическое значение показателя.</w:t>
      </w:r>
    </w:p>
    <w:sectPr w:rsidR="00196016" w:rsidRPr="00196016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50931"/>
    <w:rsid w:val="00075C8B"/>
    <w:rsid w:val="000C07B5"/>
    <w:rsid w:val="00100D79"/>
    <w:rsid w:val="00146991"/>
    <w:rsid w:val="00184562"/>
    <w:rsid w:val="00196016"/>
    <w:rsid w:val="001C41BD"/>
    <w:rsid w:val="00213908"/>
    <w:rsid w:val="0023035E"/>
    <w:rsid w:val="00265CFE"/>
    <w:rsid w:val="00275280"/>
    <w:rsid w:val="002C4BB1"/>
    <w:rsid w:val="002D72EC"/>
    <w:rsid w:val="002F0721"/>
    <w:rsid w:val="002F507A"/>
    <w:rsid w:val="00316C13"/>
    <w:rsid w:val="00396636"/>
    <w:rsid w:val="003C2985"/>
    <w:rsid w:val="003E263A"/>
    <w:rsid w:val="003F5E32"/>
    <w:rsid w:val="00457213"/>
    <w:rsid w:val="00467E76"/>
    <w:rsid w:val="00477A25"/>
    <w:rsid w:val="004D4E72"/>
    <w:rsid w:val="0052017F"/>
    <w:rsid w:val="005A1429"/>
    <w:rsid w:val="0062235A"/>
    <w:rsid w:val="0063542B"/>
    <w:rsid w:val="0067266F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8708C5"/>
    <w:rsid w:val="009043E1"/>
    <w:rsid w:val="00907920"/>
    <w:rsid w:val="00920C5C"/>
    <w:rsid w:val="00934D7C"/>
    <w:rsid w:val="009829E6"/>
    <w:rsid w:val="009E7004"/>
    <w:rsid w:val="00A0622A"/>
    <w:rsid w:val="00AA4B26"/>
    <w:rsid w:val="00BA4F52"/>
    <w:rsid w:val="00BC5E81"/>
    <w:rsid w:val="00BC69AC"/>
    <w:rsid w:val="00BF08EB"/>
    <w:rsid w:val="00C65768"/>
    <w:rsid w:val="00C808D5"/>
    <w:rsid w:val="00CA31E0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745C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7</cp:revision>
  <cp:lastPrinted>2018-06-20T07:42:00Z</cp:lastPrinted>
  <dcterms:created xsi:type="dcterms:W3CDTF">2018-07-25T07:29:00Z</dcterms:created>
  <dcterms:modified xsi:type="dcterms:W3CDTF">2018-07-25T11:31:00Z</dcterms:modified>
</cp:coreProperties>
</file>