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30204" w14:textId="77777777" w:rsidR="00E419FC" w:rsidRPr="001A2E63" w:rsidRDefault="00E419FC" w:rsidP="00F737E4">
      <w:pPr>
        <w:pStyle w:val="1"/>
        <w:jc w:val="center"/>
      </w:pPr>
      <w:bookmarkStart w:id="0" w:name="_GoBack"/>
      <w:bookmarkEnd w:id="0"/>
      <w:r w:rsidRPr="001A2E63">
        <w:rPr>
          <w:noProof/>
        </w:rPr>
        <w:drawing>
          <wp:inline distT="0" distB="0" distL="0" distR="0" wp14:anchorId="1786F184" wp14:editId="2EEC1312">
            <wp:extent cx="1066800" cy="10111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67812" cy="1012144"/>
                    </a:xfrm>
                    <a:prstGeom prst="rect">
                      <a:avLst/>
                    </a:prstGeom>
                    <a:noFill/>
                    <a:ln w="9525">
                      <a:noFill/>
                      <a:miter lim="800000"/>
                      <a:headEnd/>
                      <a:tailEnd/>
                    </a:ln>
                  </pic:spPr>
                </pic:pic>
              </a:graphicData>
            </a:graphic>
          </wp:inline>
        </w:drawing>
      </w:r>
    </w:p>
    <w:p w14:paraId="1AC130F7" w14:textId="77777777" w:rsidR="00E419FC" w:rsidRPr="001A2E63" w:rsidRDefault="00E419FC" w:rsidP="00E419FC">
      <w:pPr>
        <w:spacing w:before="100" w:beforeAutospacing="1" w:after="119"/>
        <w:jc w:val="center"/>
      </w:pPr>
      <w:r w:rsidRPr="001A2E63">
        <w:rPr>
          <w:sz w:val="32"/>
          <w:szCs w:val="32"/>
        </w:rPr>
        <w:t>ФЕДЕРАЛЬНАЯ АНТИМОНОПОЛЬНАЯ СЛУЖБА</w:t>
      </w:r>
    </w:p>
    <w:p w14:paraId="00804196" w14:textId="77777777" w:rsidR="00E419FC" w:rsidRPr="001A2E63" w:rsidRDefault="00E419FC" w:rsidP="00E419FC">
      <w:pPr>
        <w:spacing w:before="100" w:beforeAutospacing="1" w:after="119"/>
        <w:jc w:val="center"/>
      </w:pPr>
      <w:r w:rsidRPr="001A2E63">
        <w:rPr>
          <w:b/>
          <w:bCs/>
          <w:sz w:val="30"/>
          <w:szCs w:val="30"/>
        </w:rPr>
        <w:t>КОНТРОЛЬНО-ФИНАНСОВОЕ УПРАВЛЕНИЕ</w:t>
      </w:r>
    </w:p>
    <w:p w14:paraId="5360C067" w14:textId="77777777" w:rsidR="00E419FC" w:rsidRPr="001A2E63" w:rsidRDefault="00E419FC" w:rsidP="00E419FC">
      <w:pPr>
        <w:spacing w:after="200" w:line="276" w:lineRule="auto"/>
        <w:jc w:val="center"/>
        <w:rPr>
          <w:b/>
          <w:bCs/>
          <w:sz w:val="28"/>
          <w:szCs w:val="28"/>
        </w:rPr>
      </w:pPr>
    </w:p>
    <w:p w14:paraId="41C21000" w14:textId="77777777" w:rsidR="00E419FC" w:rsidRPr="001A2E63" w:rsidRDefault="00E419FC" w:rsidP="00E419FC">
      <w:pPr>
        <w:spacing w:after="200" w:line="276" w:lineRule="auto"/>
        <w:jc w:val="center"/>
        <w:rPr>
          <w:b/>
          <w:bCs/>
          <w:sz w:val="28"/>
          <w:szCs w:val="28"/>
        </w:rPr>
      </w:pPr>
      <w:r w:rsidRPr="001A2E63">
        <w:rPr>
          <w:b/>
          <w:bCs/>
          <w:sz w:val="28"/>
          <w:szCs w:val="28"/>
        </w:rPr>
        <w:t>АНАЛИТИЧЕСКИЙ ОТЧЕТ О СОСТОЯНИИ КОНКУР</w:t>
      </w:r>
      <w:r>
        <w:rPr>
          <w:b/>
          <w:bCs/>
          <w:sz w:val="28"/>
          <w:szCs w:val="28"/>
        </w:rPr>
        <w:t>ЕНЦИИ НА</w:t>
      </w:r>
      <w:r w:rsidRPr="001A2E63">
        <w:rPr>
          <w:b/>
          <w:bCs/>
          <w:sz w:val="28"/>
          <w:szCs w:val="28"/>
        </w:rPr>
        <w:t xml:space="preserve"> РЫНКЕ </w:t>
      </w:r>
      <w:r>
        <w:rPr>
          <w:b/>
          <w:bCs/>
          <w:sz w:val="28"/>
          <w:szCs w:val="28"/>
        </w:rPr>
        <w:t>УСЛУГ, ОКАЗЫВАЕМЫХ ВЛАДЕЛЬЦАМИ                      СКЛАДОВ ВРЕМЕННОГО ХРАНЕНИЯ</w:t>
      </w:r>
    </w:p>
    <w:p w14:paraId="4CECBA79" w14:textId="77777777" w:rsidR="00E419FC" w:rsidRPr="001A2E63" w:rsidRDefault="00E419FC" w:rsidP="00E419FC">
      <w:pPr>
        <w:spacing w:after="200" w:line="276" w:lineRule="auto"/>
        <w:jc w:val="center"/>
        <w:rPr>
          <w:b/>
          <w:bCs/>
          <w:sz w:val="28"/>
          <w:szCs w:val="28"/>
        </w:rPr>
      </w:pPr>
      <w:r w:rsidRPr="001A2E63">
        <w:rPr>
          <w:b/>
          <w:bCs/>
          <w:sz w:val="28"/>
          <w:szCs w:val="28"/>
        </w:rPr>
        <w:t xml:space="preserve">ЗА </w:t>
      </w:r>
      <w:r>
        <w:rPr>
          <w:b/>
          <w:bCs/>
          <w:sz w:val="28"/>
          <w:szCs w:val="28"/>
        </w:rPr>
        <w:t>2015-</w:t>
      </w:r>
      <w:r w:rsidRPr="001A2E63">
        <w:rPr>
          <w:b/>
          <w:bCs/>
          <w:sz w:val="28"/>
          <w:szCs w:val="28"/>
        </w:rPr>
        <w:t>2016 ГОД</w:t>
      </w:r>
      <w:r>
        <w:rPr>
          <w:b/>
          <w:bCs/>
          <w:sz w:val="28"/>
          <w:szCs w:val="28"/>
        </w:rPr>
        <w:t>Ы</w:t>
      </w:r>
    </w:p>
    <w:p w14:paraId="30BA9211" w14:textId="77777777" w:rsidR="00E327CE" w:rsidRPr="00464A55" w:rsidRDefault="00E327CE" w:rsidP="00464A55">
      <w:pPr>
        <w:rPr>
          <w:b/>
          <w:sz w:val="44"/>
          <w:szCs w:val="44"/>
        </w:rPr>
      </w:pPr>
    </w:p>
    <w:p w14:paraId="0082756A" w14:textId="77777777" w:rsidR="00E327CE" w:rsidRDefault="00FD3910" w:rsidP="00464A55">
      <w:pPr>
        <w:jc w:val="center"/>
        <w:rPr>
          <w:b/>
          <w:sz w:val="28"/>
          <w:szCs w:val="28"/>
        </w:rPr>
      </w:pPr>
      <w:r w:rsidRPr="00FD3910">
        <w:rPr>
          <w:b/>
          <w:noProof/>
          <w:sz w:val="28"/>
          <w:szCs w:val="28"/>
        </w:rPr>
        <w:drawing>
          <wp:inline distT="0" distB="0" distL="0" distR="0" wp14:anchorId="31A46345" wp14:editId="0A811DB8">
            <wp:extent cx="6280150" cy="3532584"/>
            <wp:effectExtent l="0" t="0" r="6350" b="0"/>
            <wp:docPr id="24" name="Рисунок 24" descr="C:\Users\agribova\Pictures\pers_sklad_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ibova\Pictures\pers_sklad_vi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0" cy="3532584"/>
                    </a:xfrm>
                    <a:prstGeom prst="rect">
                      <a:avLst/>
                    </a:prstGeom>
                    <a:noFill/>
                    <a:ln>
                      <a:noFill/>
                    </a:ln>
                  </pic:spPr>
                </pic:pic>
              </a:graphicData>
            </a:graphic>
          </wp:inline>
        </w:drawing>
      </w:r>
    </w:p>
    <w:p w14:paraId="27DF11D1" w14:textId="77777777" w:rsidR="00E327CE" w:rsidRDefault="00E327CE" w:rsidP="00464A55">
      <w:pPr>
        <w:jc w:val="center"/>
        <w:rPr>
          <w:b/>
          <w:sz w:val="28"/>
          <w:szCs w:val="28"/>
        </w:rPr>
      </w:pPr>
    </w:p>
    <w:p w14:paraId="33BB3C25" w14:textId="77777777" w:rsidR="00E327CE" w:rsidRDefault="00E327CE" w:rsidP="00464A55">
      <w:pPr>
        <w:jc w:val="center"/>
        <w:rPr>
          <w:b/>
          <w:sz w:val="28"/>
          <w:szCs w:val="28"/>
        </w:rPr>
      </w:pPr>
    </w:p>
    <w:p w14:paraId="30FF25C8" w14:textId="77777777" w:rsidR="00E327CE" w:rsidRDefault="00E327CE" w:rsidP="00464A55">
      <w:pPr>
        <w:jc w:val="center"/>
        <w:rPr>
          <w:b/>
          <w:sz w:val="28"/>
          <w:szCs w:val="28"/>
        </w:rPr>
      </w:pPr>
    </w:p>
    <w:p w14:paraId="47592CAE" w14:textId="77777777" w:rsidR="00E327CE" w:rsidRDefault="00E327CE" w:rsidP="00464A55">
      <w:pPr>
        <w:jc w:val="center"/>
        <w:rPr>
          <w:b/>
          <w:sz w:val="28"/>
          <w:szCs w:val="28"/>
        </w:rPr>
      </w:pPr>
    </w:p>
    <w:p w14:paraId="4313E830" w14:textId="77777777" w:rsidR="00E327CE" w:rsidRDefault="00E327CE" w:rsidP="00464A55">
      <w:pPr>
        <w:rPr>
          <w:b/>
          <w:sz w:val="28"/>
          <w:szCs w:val="28"/>
        </w:rPr>
      </w:pPr>
    </w:p>
    <w:p w14:paraId="6DBF5AD8" w14:textId="77777777" w:rsidR="00E327CE" w:rsidRDefault="00E327CE" w:rsidP="00464A55">
      <w:pPr>
        <w:rPr>
          <w:b/>
          <w:sz w:val="28"/>
          <w:szCs w:val="28"/>
        </w:rPr>
      </w:pPr>
    </w:p>
    <w:p w14:paraId="610CEF67" w14:textId="77777777" w:rsidR="00E327CE" w:rsidRDefault="00E327CE" w:rsidP="00464A55">
      <w:pPr>
        <w:rPr>
          <w:b/>
          <w:sz w:val="28"/>
          <w:szCs w:val="28"/>
        </w:rPr>
      </w:pPr>
    </w:p>
    <w:p w14:paraId="484921A7" w14:textId="77777777" w:rsidR="00E327CE" w:rsidRDefault="00E327CE" w:rsidP="00464A55">
      <w:pPr>
        <w:rPr>
          <w:b/>
          <w:sz w:val="28"/>
          <w:szCs w:val="28"/>
        </w:rPr>
      </w:pPr>
    </w:p>
    <w:p w14:paraId="74243ED2" w14:textId="77777777" w:rsidR="00E327CE" w:rsidRPr="00FD3910" w:rsidRDefault="00E327CE" w:rsidP="00464A55">
      <w:pPr>
        <w:jc w:val="center"/>
        <w:rPr>
          <w:sz w:val="28"/>
          <w:szCs w:val="28"/>
        </w:rPr>
      </w:pPr>
      <w:r w:rsidRPr="00FD3910">
        <w:rPr>
          <w:sz w:val="28"/>
          <w:szCs w:val="28"/>
        </w:rPr>
        <w:t>М</w:t>
      </w:r>
      <w:r w:rsidR="00FD3910" w:rsidRPr="00FD3910">
        <w:rPr>
          <w:sz w:val="28"/>
          <w:szCs w:val="28"/>
        </w:rPr>
        <w:t xml:space="preserve">ОСКВА </w:t>
      </w:r>
      <w:r w:rsidRPr="00FD3910">
        <w:rPr>
          <w:sz w:val="28"/>
          <w:szCs w:val="28"/>
        </w:rPr>
        <w:t>201</w:t>
      </w:r>
      <w:r w:rsidR="00FD3910" w:rsidRPr="00FD3910">
        <w:rPr>
          <w:sz w:val="28"/>
          <w:szCs w:val="28"/>
        </w:rPr>
        <w:t>8</w:t>
      </w:r>
    </w:p>
    <w:p w14:paraId="2D8AE77D" w14:textId="77777777" w:rsidR="00FD3910" w:rsidRDefault="00FD3910" w:rsidP="00464A55">
      <w:pPr>
        <w:rPr>
          <w:b/>
          <w:sz w:val="28"/>
          <w:szCs w:val="28"/>
        </w:rPr>
      </w:pPr>
    </w:p>
    <w:p w14:paraId="44DF8126" w14:textId="3B32FE7D" w:rsidR="00173F7D" w:rsidRPr="00A22F35" w:rsidRDefault="00E327CE" w:rsidP="00173F7D">
      <w:pPr>
        <w:autoSpaceDE w:val="0"/>
        <w:autoSpaceDN w:val="0"/>
        <w:adjustRightInd w:val="0"/>
        <w:ind w:right="-104"/>
        <w:jc w:val="center"/>
        <w:rPr>
          <w:sz w:val="26"/>
          <w:szCs w:val="26"/>
        </w:rPr>
      </w:pPr>
      <w:r>
        <w:rPr>
          <w:rFonts w:ascii="Times New Roman CYR" w:hAnsi="Times New Roman CYR" w:cs="Times New Roman CYR"/>
          <w:b/>
          <w:bCs/>
          <w:sz w:val="28"/>
          <w:szCs w:val="28"/>
        </w:rPr>
        <w:t>СОДЕРЖАНИЕ</w:t>
      </w:r>
    </w:p>
    <w:p w14:paraId="45193BCE" w14:textId="3A6082D7" w:rsidR="00A22F35" w:rsidRPr="00A22F35" w:rsidRDefault="00A22F35" w:rsidP="00A22F35">
      <w:pPr>
        <w:spacing w:line="360" w:lineRule="auto"/>
        <w:rPr>
          <w:sz w:val="26"/>
          <w:szCs w:val="26"/>
        </w:rPr>
      </w:pPr>
    </w:p>
    <w:p w14:paraId="7418287F" w14:textId="2E59D34F" w:rsidR="00004CE1" w:rsidRPr="001A2E63" w:rsidRDefault="00004CE1" w:rsidP="00004CE1">
      <w:pPr>
        <w:tabs>
          <w:tab w:val="right" w:leader="dot" w:pos="9345"/>
        </w:tabs>
        <w:autoSpaceDE w:val="0"/>
        <w:autoSpaceDN w:val="0"/>
        <w:adjustRightInd w:val="0"/>
        <w:spacing w:after="100" w:line="276" w:lineRule="auto"/>
        <w:rPr>
          <w:color w:val="000000"/>
          <w:sz w:val="28"/>
          <w:szCs w:val="28"/>
        </w:rPr>
      </w:pPr>
      <w:r w:rsidRPr="001A2E63">
        <w:rPr>
          <w:color w:val="000000"/>
          <w:sz w:val="28"/>
          <w:szCs w:val="28"/>
          <w:lang w:val="en-US"/>
        </w:rPr>
        <w:t>I</w:t>
      </w:r>
      <w:r w:rsidRPr="001A2E63">
        <w:rPr>
          <w:color w:val="000000"/>
          <w:sz w:val="28"/>
          <w:szCs w:val="28"/>
        </w:rPr>
        <w:t>. Общие положения</w:t>
      </w:r>
      <w:r>
        <w:rPr>
          <w:color w:val="000000"/>
          <w:sz w:val="28"/>
          <w:szCs w:val="28"/>
        </w:rPr>
        <w:t xml:space="preserve">  </w:t>
      </w:r>
      <w:r w:rsidRPr="001A2E63">
        <w:rPr>
          <w:color w:val="000000"/>
          <w:sz w:val="28"/>
          <w:szCs w:val="28"/>
        </w:rPr>
        <w:t xml:space="preserve">                                                                                       </w:t>
      </w:r>
      <w:r>
        <w:rPr>
          <w:color w:val="000000"/>
          <w:sz w:val="28"/>
          <w:szCs w:val="28"/>
        </w:rPr>
        <w:t xml:space="preserve">   </w:t>
      </w:r>
      <w:r w:rsidR="00173F7D">
        <w:rPr>
          <w:color w:val="000000"/>
          <w:sz w:val="28"/>
          <w:szCs w:val="28"/>
        </w:rPr>
        <w:t xml:space="preserve">  </w:t>
      </w:r>
      <w:r>
        <w:rPr>
          <w:color w:val="000000"/>
          <w:sz w:val="28"/>
          <w:szCs w:val="28"/>
        </w:rPr>
        <w:t xml:space="preserve">   </w:t>
      </w:r>
      <w:r w:rsidRPr="001A2E63">
        <w:rPr>
          <w:color w:val="000000"/>
          <w:sz w:val="28"/>
          <w:szCs w:val="28"/>
        </w:rPr>
        <w:t xml:space="preserve">       3</w:t>
      </w:r>
    </w:p>
    <w:p w14:paraId="5DD68818" w14:textId="470C45A1" w:rsidR="00004CE1" w:rsidRPr="001A2E63" w:rsidRDefault="00004CE1" w:rsidP="00004CE1">
      <w:pPr>
        <w:tabs>
          <w:tab w:val="right" w:leader="dot" w:pos="9345"/>
        </w:tabs>
        <w:autoSpaceDE w:val="0"/>
        <w:autoSpaceDN w:val="0"/>
        <w:adjustRightInd w:val="0"/>
        <w:spacing w:after="100" w:line="276" w:lineRule="auto"/>
        <w:rPr>
          <w:color w:val="000000"/>
          <w:sz w:val="28"/>
          <w:szCs w:val="28"/>
        </w:rPr>
      </w:pPr>
      <w:r w:rsidRPr="001A2E63">
        <w:rPr>
          <w:color w:val="000000"/>
          <w:sz w:val="28"/>
          <w:szCs w:val="28"/>
        </w:rPr>
        <w:t>II. Временной интервал исследования</w:t>
      </w:r>
      <w:r>
        <w:rPr>
          <w:color w:val="000000"/>
          <w:sz w:val="28"/>
          <w:szCs w:val="28"/>
        </w:rPr>
        <w:t xml:space="preserve">                 </w:t>
      </w:r>
      <w:r w:rsidRPr="001A2E63">
        <w:rPr>
          <w:color w:val="000000"/>
          <w:sz w:val="28"/>
          <w:szCs w:val="28"/>
        </w:rPr>
        <w:t xml:space="preserve">                     </w:t>
      </w:r>
      <w:r>
        <w:rPr>
          <w:color w:val="000000"/>
          <w:sz w:val="28"/>
          <w:szCs w:val="28"/>
        </w:rPr>
        <w:t xml:space="preserve">      </w:t>
      </w:r>
      <w:r w:rsidRPr="001A2E63">
        <w:rPr>
          <w:color w:val="000000"/>
          <w:sz w:val="28"/>
          <w:szCs w:val="28"/>
        </w:rPr>
        <w:t xml:space="preserve">                  </w:t>
      </w:r>
      <w:r w:rsidR="00173F7D">
        <w:rPr>
          <w:color w:val="000000"/>
          <w:sz w:val="28"/>
          <w:szCs w:val="28"/>
        </w:rPr>
        <w:t xml:space="preserve"> </w:t>
      </w:r>
      <w:r w:rsidRPr="001A2E63">
        <w:rPr>
          <w:color w:val="000000"/>
          <w:sz w:val="28"/>
          <w:szCs w:val="28"/>
        </w:rPr>
        <w:t xml:space="preserve">           4</w:t>
      </w:r>
    </w:p>
    <w:p w14:paraId="0A2FF995" w14:textId="7B3E09C3" w:rsidR="00004CE1" w:rsidRPr="001A2E63" w:rsidRDefault="00004CE1" w:rsidP="00004CE1">
      <w:pPr>
        <w:tabs>
          <w:tab w:val="right" w:leader="dot" w:pos="9345"/>
        </w:tabs>
        <w:autoSpaceDE w:val="0"/>
        <w:autoSpaceDN w:val="0"/>
        <w:adjustRightInd w:val="0"/>
        <w:spacing w:after="100" w:line="276" w:lineRule="auto"/>
        <w:rPr>
          <w:color w:val="000000"/>
          <w:sz w:val="28"/>
          <w:szCs w:val="28"/>
        </w:rPr>
      </w:pPr>
      <w:r w:rsidRPr="001A2E63">
        <w:rPr>
          <w:color w:val="000000"/>
          <w:sz w:val="28"/>
          <w:szCs w:val="28"/>
          <w:lang w:val="en-US"/>
        </w:rPr>
        <w:t>III</w:t>
      </w:r>
      <w:r w:rsidRPr="001A2E63">
        <w:rPr>
          <w:color w:val="000000"/>
          <w:sz w:val="28"/>
          <w:szCs w:val="28"/>
        </w:rPr>
        <w:t xml:space="preserve">. Продуктовые границы </w:t>
      </w:r>
      <w:r w:rsidR="00173F7D">
        <w:rPr>
          <w:color w:val="000000"/>
          <w:sz w:val="28"/>
          <w:szCs w:val="28"/>
        </w:rPr>
        <w:t xml:space="preserve">товарного </w:t>
      </w:r>
      <w:r w:rsidRPr="001A2E63">
        <w:rPr>
          <w:color w:val="000000"/>
          <w:sz w:val="28"/>
          <w:szCs w:val="28"/>
        </w:rPr>
        <w:t xml:space="preserve">рынка </w:t>
      </w:r>
      <w:r w:rsidR="00173F7D">
        <w:rPr>
          <w:color w:val="000000"/>
          <w:sz w:val="28"/>
          <w:szCs w:val="28"/>
        </w:rPr>
        <w:t xml:space="preserve">                       </w:t>
      </w:r>
      <w:r w:rsidRPr="001A2E63">
        <w:rPr>
          <w:color w:val="000000"/>
          <w:sz w:val="28"/>
          <w:szCs w:val="28"/>
        </w:rPr>
        <w:t xml:space="preserve">        </w:t>
      </w:r>
      <w:r>
        <w:rPr>
          <w:color w:val="000000"/>
          <w:sz w:val="28"/>
          <w:szCs w:val="28"/>
        </w:rPr>
        <w:t xml:space="preserve">      </w:t>
      </w:r>
      <w:r w:rsidR="00EE05DC">
        <w:rPr>
          <w:color w:val="000000"/>
          <w:sz w:val="28"/>
          <w:szCs w:val="28"/>
        </w:rPr>
        <w:t xml:space="preserve">                       </w:t>
      </w:r>
      <w:r w:rsidRPr="001A2E63">
        <w:rPr>
          <w:color w:val="000000"/>
          <w:sz w:val="28"/>
          <w:szCs w:val="28"/>
        </w:rPr>
        <w:t xml:space="preserve">    </w:t>
      </w:r>
      <w:r>
        <w:rPr>
          <w:color w:val="000000"/>
          <w:sz w:val="28"/>
          <w:szCs w:val="28"/>
        </w:rPr>
        <w:t>4</w:t>
      </w:r>
    </w:p>
    <w:p w14:paraId="6D867C14" w14:textId="5679F508" w:rsidR="00004CE1" w:rsidRPr="001A2E63" w:rsidRDefault="00004CE1" w:rsidP="00004CE1">
      <w:pPr>
        <w:tabs>
          <w:tab w:val="right" w:leader="dot" w:pos="9345"/>
        </w:tabs>
        <w:autoSpaceDE w:val="0"/>
        <w:autoSpaceDN w:val="0"/>
        <w:adjustRightInd w:val="0"/>
        <w:spacing w:after="100" w:line="276" w:lineRule="auto"/>
        <w:rPr>
          <w:color w:val="000000"/>
          <w:sz w:val="28"/>
          <w:szCs w:val="28"/>
        </w:rPr>
      </w:pPr>
      <w:r w:rsidRPr="001A2E63">
        <w:rPr>
          <w:color w:val="000000"/>
          <w:sz w:val="28"/>
          <w:szCs w:val="28"/>
          <w:lang w:val="en-US"/>
        </w:rPr>
        <w:t>IV</w:t>
      </w:r>
      <w:r w:rsidRPr="001A2E63">
        <w:rPr>
          <w:color w:val="000000"/>
          <w:sz w:val="28"/>
          <w:szCs w:val="28"/>
        </w:rPr>
        <w:t xml:space="preserve">. Географические границы </w:t>
      </w:r>
      <w:r w:rsidR="00173F7D">
        <w:rPr>
          <w:color w:val="000000"/>
          <w:sz w:val="28"/>
          <w:szCs w:val="28"/>
        </w:rPr>
        <w:t xml:space="preserve">товарного </w:t>
      </w:r>
      <w:r w:rsidRPr="001A2E63">
        <w:rPr>
          <w:color w:val="000000"/>
          <w:sz w:val="28"/>
          <w:szCs w:val="28"/>
        </w:rPr>
        <w:t xml:space="preserve">рынка    </w:t>
      </w:r>
      <w:r>
        <w:rPr>
          <w:color w:val="000000"/>
          <w:sz w:val="28"/>
          <w:szCs w:val="28"/>
        </w:rPr>
        <w:t xml:space="preserve">        </w:t>
      </w:r>
      <w:r w:rsidR="00173F7D">
        <w:rPr>
          <w:color w:val="000000"/>
          <w:sz w:val="28"/>
          <w:szCs w:val="28"/>
        </w:rPr>
        <w:t xml:space="preserve">               </w:t>
      </w:r>
      <w:r>
        <w:rPr>
          <w:color w:val="000000"/>
          <w:sz w:val="28"/>
          <w:szCs w:val="28"/>
        </w:rPr>
        <w:t xml:space="preserve">      </w:t>
      </w:r>
      <w:r w:rsidRPr="001A2E63">
        <w:rPr>
          <w:color w:val="000000"/>
          <w:sz w:val="28"/>
          <w:szCs w:val="28"/>
        </w:rPr>
        <w:t xml:space="preserve">                         </w:t>
      </w:r>
      <w:r w:rsidR="009B41DE">
        <w:rPr>
          <w:color w:val="000000"/>
          <w:sz w:val="28"/>
          <w:szCs w:val="28"/>
        </w:rPr>
        <w:t>12</w:t>
      </w:r>
    </w:p>
    <w:p w14:paraId="5B52F8E2" w14:textId="1FBA05CE" w:rsidR="00004CE1" w:rsidRPr="001A2E63" w:rsidRDefault="00004CE1" w:rsidP="00004CE1">
      <w:pPr>
        <w:tabs>
          <w:tab w:val="right" w:leader="dot" w:pos="9345"/>
        </w:tabs>
        <w:autoSpaceDE w:val="0"/>
        <w:autoSpaceDN w:val="0"/>
        <w:adjustRightInd w:val="0"/>
        <w:spacing w:after="100" w:line="276" w:lineRule="auto"/>
        <w:rPr>
          <w:color w:val="000000"/>
          <w:sz w:val="28"/>
          <w:szCs w:val="28"/>
        </w:rPr>
      </w:pPr>
      <w:r w:rsidRPr="001A2E63">
        <w:rPr>
          <w:color w:val="000000"/>
          <w:sz w:val="28"/>
          <w:szCs w:val="28"/>
          <w:lang w:val="en-US"/>
        </w:rPr>
        <w:t>V</w:t>
      </w:r>
      <w:r w:rsidRPr="001A2E63">
        <w:rPr>
          <w:color w:val="000000"/>
          <w:sz w:val="28"/>
          <w:szCs w:val="28"/>
        </w:rPr>
        <w:t>. Определение состава хозяйствующих субъектов</w:t>
      </w:r>
      <w:r w:rsidR="00173F7D">
        <w:rPr>
          <w:color w:val="000000"/>
          <w:sz w:val="28"/>
          <w:szCs w:val="28"/>
        </w:rPr>
        <w:t xml:space="preserve">, действующих на товарном рынке                                                                             </w:t>
      </w:r>
      <w:r>
        <w:rPr>
          <w:color w:val="000000"/>
          <w:sz w:val="28"/>
          <w:szCs w:val="28"/>
        </w:rPr>
        <w:t xml:space="preserve">            </w:t>
      </w:r>
      <w:r w:rsidRPr="001A2E63">
        <w:rPr>
          <w:color w:val="000000"/>
          <w:sz w:val="28"/>
          <w:szCs w:val="28"/>
        </w:rPr>
        <w:t xml:space="preserve">                  </w:t>
      </w:r>
      <w:r>
        <w:rPr>
          <w:color w:val="000000"/>
          <w:sz w:val="28"/>
          <w:szCs w:val="28"/>
        </w:rPr>
        <w:t xml:space="preserve">     </w:t>
      </w:r>
      <w:r w:rsidRPr="001A2E63">
        <w:rPr>
          <w:color w:val="000000"/>
          <w:sz w:val="28"/>
          <w:szCs w:val="28"/>
        </w:rPr>
        <w:t xml:space="preserve">             </w:t>
      </w:r>
      <w:r>
        <w:rPr>
          <w:color w:val="000000"/>
          <w:sz w:val="28"/>
          <w:szCs w:val="28"/>
        </w:rPr>
        <w:t xml:space="preserve"> </w:t>
      </w:r>
      <w:r w:rsidR="009B41DE">
        <w:rPr>
          <w:color w:val="000000"/>
          <w:sz w:val="28"/>
          <w:szCs w:val="28"/>
        </w:rPr>
        <w:t>14</w:t>
      </w:r>
    </w:p>
    <w:p w14:paraId="1922EC6B" w14:textId="50B37457" w:rsidR="00004CE1" w:rsidRDefault="00004CE1" w:rsidP="00004CE1">
      <w:pPr>
        <w:tabs>
          <w:tab w:val="right" w:leader="dot" w:pos="9345"/>
        </w:tabs>
        <w:autoSpaceDE w:val="0"/>
        <w:autoSpaceDN w:val="0"/>
        <w:adjustRightInd w:val="0"/>
        <w:spacing w:after="100" w:line="276" w:lineRule="auto"/>
        <w:rPr>
          <w:color w:val="000000"/>
          <w:sz w:val="28"/>
          <w:szCs w:val="28"/>
        </w:rPr>
      </w:pPr>
      <w:r w:rsidRPr="001A2E63">
        <w:rPr>
          <w:color w:val="000000"/>
          <w:sz w:val="28"/>
          <w:szCs w:val="28"/>
          <w:lang w:val="en-US"/>
        </w:rPr>
        <w:t>VI</w:t>
      </w:r>
      <w:r w:rsidRPr="001A2E63">
        <w:rPr>
          <w:color w:val="000000"/>
          <w:sz w:val="28"/>
          <w:szCs w:val="28"/>
        </w:rPr>
        <w:t>. Расчет объема товарного рынка и долей хозяйствующих субъектов</w:t>
      </w:r>
      <w:r w:rsidRPr="00B96BE5">
        <w:rPr>
          <w:color w:val="000000"/>
          <w:sz w:val="28"/>
          <w:szCs w:val="28"/>
        </w:rPr>
        <w:t xml:space="preserve"> </w:t>
      </w:r>
      <w:r>
        <w:rPr>
          <w:color w:val="000000"/>
          <w:sz w:val="28"/>
          <w:szCs w:val="28"/>
        </w:rPr>
        <w:t xml:space="preserve">на </w:t>
      </w:r>
      <w:r w:rsidR="009B41DE">
        <w:rPr>
          <w:color w:val="000000"/>
          <w:sz w:val="28"/>
          <w:szCs w:val="28"/>
        </w:rPr>
        <w:t>товарном</w:t>
      </w:r>
      <w:r>
        <w:rPr>
          <w:color w:val="000000"/>
          <w:sz w:val="28"/>
          <w:szCs w:val="28"/>
        </w:rPr>
        <w:t xml:space="preserve"> рынке                                   </w:t>
      </w:r>
      <w:r w:rsidR="009B41DE">
        <w:rPr>
          <w:color w:val="000000"/>
          <w:sz w:val="28"/>
          <w:szCs w:val="28"/>
        </w:rPr>
        <w:t xml:space="preserve">           </w:t>
      </w:r>
      <w:r>
        <w:rPr>
          <w:color w:val="000000"/>
          <w:sz w:val="28"/>
          <w:szCs w:val="28"/>
        </w:rPr>
        <w:t xml:space="preserve">                              </w:t>
      </w:r>
      <w:r w:rsidRPr="001A2E63">
        <w:rPr>
          <w:color w:val="000000"/>
          <w:sz w:val="28"/>
          <w:szCs w:val="28"/>
        </w:rPr>
        <w:t xml:space="preserve">      </w:t>
      </w:r>
      <w:r>
        <w:rPr>
          <w:color w:val="000000"/>
          <w:sz w:val="28"/>
          <w:szCs w:val="28"/>
        </w:rPr>
        <w:t xml:space="preserve">      </w:t>
      </w:r>
      <w:r w:rsidRPr="001A2E63">
        <w:rPr>
          <w:color w:val="000000"/>
          <w:sz w:val="28"/>
          <w:szCs w:val="28"/>
        </w:rPr>
        <w:t xml:space="preserve">  </w:t>
      </w:r>
      <w:r>
        <w:rPr>
          <w:color w:val="000000"/>
          <w:sz w:val="28"/>
          <w:szCs w:val="28"/>
        </w:rPr>
        <w:t xml:space="preserve">                   </w:t>
      </w:r>
      <w:r w:rsidR="009B41DE">
        <w:rPr>
          <w:color w:val="000000"/>
          <w:sz w:val="28"/>
          <w:szCs w:val="28"/>
        </w:rPr>
        <w:t>14</w:t>
      </w:r>
    </w:p>
    <w:p w14:paraId="5002EC8C" w14:textId="28348225" w:rsidR="00004CE1" w:rsidRPr="000A0ED5" w:rsidRDefault="00004CE1" w:rsidP="00004CE1">
      <w:pPr>
        <w:tabs>
          <w:tab w:val="right" w:leader="dot" w:pos="9345"/>
        </w:tabs>
        <w:autoSpaceDE w:val="0"/>
        <w:autoSpaceDN w:val="0"/>
        <w:adjustRightInd w:val="0"/>
        <w:spacing w:after="100" w:line="276" w:lineRule="auto"/>
        <w:rPr>
          <w:color w:val="000000"/>
          <w:sz w:val="28"/>
          <w:szCs w:val="28"/>
        </w:rPr>
      </w:pPr>
      <w:r w:rsidRPr="001A2E63">
        <w:rPr>
          <w:color w:val="000000"/>
          <w:sz w:val="28"/>
          <w:szCs w:val="28"/>
          <w:lang w:val="en-US"/>
        </w:rPr>
        <w:t>V</w:t>
      </w:r>
      <w:r>
        <w:rPr>
          <w:color w:val="000000"/>
          <w:sz w:val="28"/>
          <w:szCs w:val="28"/>
          <w:lang w:val="en-US"/>
        </w:rPr>
        <w:t>II</w:t>
      </w:r>
      <w:r w:rsidR="009B41DE">
        <w:rPr>
          <w:color w:val="000000"/>
          <w:sz w:val="28"/>
          <w:szCs w:val="28"/>
        </w:rPr>
        <w:t>.</w:t>
      </w:r>
      <w:r w:rsidR="009B41DE" w:rsidRPr="009B41DE">
        <w:rPr>
          <w:color w:val="000000"/>
          <w:sz w:val="28"/>
          <w:szCs w:val="28"/>
        </w:rPr>
        <w:t xml:space="preserve"> Определение уровня концентрации товарного рынка. Оценка состояния конкурентной среды на рынке</w:t>
      </w:r>
      <w:r>
        <w:rPr>
          <w:color w:val="000000"/>
          <w:sz w:val="28"/>
          <w:szCs w:val="28"/>
        </w:rPr>
        <w:t xml:space="preserve">                                   </w:t>
      </w:r>
      <w:r w:rsidR="009B41DE">
        <w:rPr>
          <w:color w:val="000000"/>
          <w:sz w:val="28"/>
          <w:szCs w:val="28"/>
        </w:rPr>
        <w:t xml:space="preserve">                                                  </w:t>
      </w:r>
      <w:r>
        <w:rPr>
          <w:color w:val="000000"/>
          <w:sz w:val="28"/>
          <w:szCs w:val="28"/>
        </w:rPr>
        <w:t>1</w:t>
      </w:r>
      <w:r w:rsidR="00173F7D">
        <w:rPr>
          <w:color w:val="000000"/>
          <w:sz w:val="28"/>
          <w:szCs w:val="28"/>
        </w:rPr>
        <w:t>8</w:t>
      </w:r>
    </w:p>
    <w:p w14:paraId="1B39A070" w14:textId="01242F34" w:rsidR="00004CE1" w:rsidRPr="001A2E63" w:rsidRDefault="00004CE1" w:rsidP="00004CE1">
      <w:pPr>
        <w:tabs>
          <w:tab w:val="right" w:leader="dot" w:pos="9345"/>
        </w:tabs>
        <w:autoSpaceDE w:val="0"/>
        <w:autoSpaceDN w:val="0"/>
        <w:adjustRightInd w:val="0"/>
        <w:spacing w:after="100" w:line="276" w:lineRule="auto"/>
        <w:rPr>
          <w:color w:val="000000"/>
          <w:sz w:val="28"/>
          <w:szCs w:val="28"/>
        </w:rPr>
      </w:pPr>
      <w:r>
        <w:rPr>
          <w:color w:val="000000"/>
          <w:sz w:val="28"/>
          <w:szCs w:val="28"/>
          <w:lang w:val="en-US"/>
        </w:rPr>
        <w:t>IX</w:t>
      </w:r>
      <w:r>
        <w:rPr>
          <w:color w:val="000000"/>
          <w:sz w:val="28"/>
          <w:szCs w:val="28"/>
        </w:rPr>
        <w:t>.</w:t>
      </w:r>
      <w:r w:rsidRPr="000A0ED5">
        <w:rPr>
          <w:color w:val="000000"/>
          <w:sz w:val="28"/>
          <w:szCs w:val="28"/>
        </w:rPr>
        <w:t xml:space="preserve"> </w:t>
      </w:r>
      <w:r w:rsidRPr="001A2E63">
        <w:rPr>
          <w:color w:val="000000"/>
          <w:sz w:val="28"/>
          <w:szCs w:val="28"/>
        </w:rPr>
        <w:t xml:space="preserve">Определение барьеров входа на рынок     </w:t>
      </w:r>
      <w:r>
        <w:rPr>
          <w:color w:val="000000"/>
          <w:sz w:val="28"/>
          <w:szCs w:val="28"/>
        </w:rPr>
        <w:t xml:space="preserve">                               </w:t>
      </w:r>
      <w:r w:rsidRPr="001A2E63">
        <w:rPr>
          <w:color w:val="000000"/>
          <w:sz w:val="28"/>
          <w:szCs w:val="28"/>
        </w:rPr>
        <w:t xml:space="preserve">        </w:t>
      </w:r>
      <w:r>
        <w:rPr>
          <w:color w:val="000000"/>
          <w:sz w:val="28"/>
          <w:szCs w:val="28"/>
        </w:rPr>
        <w:t xml:space="preserve">     </w:t>
      </w:r>
      <w:r w:rsidR="00EE05DC">
        <w:rPr>
          <w:color w:val="000000"/>
          <w:sz w:val="28"/>
          <w:szCs w:val="28"/>
        </w:rPr>
        <w:t xml:space="preserve"> </w:t>
      </w:r>
      <w:r>
        <w:rPr>
          <w:color w:val="000000"/>
          <w:sz w:val="28"/>
          <w:szCs w:val="28"/>
        </w:rPr>
        <w:t xml:space="preserve"> </w:t>
      </w:r>
      <w:r w:rsidRPr="00820590">
        <w:rPr>
          <w:color w:val="000000"/>
          <w:sz w:val="28"/>
          <w:szCs w:val="28"/>
        </w:rPr>
        <w:t xml:space="preserve"> </w:t>
      </w:r>
      <w:r w:rsidRPr="001A2E63">
        <w:rPr>
          <w:color w:val="000000"/>
          <w:sz w:val="28"/>
          <w:szCs w:val="28"/>
        </w:rPr>
        <w:t xml:space="preserve">            </w:t>
      </w:r>
      <w:r w:rsidR="00173F7D">
        <w:rPr>
          <w:color w:val="000000"/>
          <w:sz w:val="28"/>
          <w:szCs w:val="28"/>
        </w:rPr>
        <w:t>21</w:t>
      </w:r>
    </w:p>
    <w:p w14:paraId="202B2D75" w14:textId="6B19DCEC" w:rsidR="00004CE1" w:rsidRPr="009B41DE" w:rsidRDefault="009B41DE" w:rsidP="00004CE1">
      <w:pPr>
        <w:tabs>
          <w:tab w:val="right" w:leader="dot" w:pos="9345"/>
        </w:tabs>
        <w:autoSpaceDE w:val="0"/>
        <w:autoSpaceDN w:val="0"/>
        <w:adjustRightInd w:val="0"/>
        <w:spacing w:after="100" w:line="276" w:lineRule="auto"/>
        <w:rPr>
          <w:color w:val="000000"/>
          <w:sz w:val="28"/>
          <w:szCs w:val="28"/>
        </w:rPr>
      </w:pPr>
      <w:r>
        <w:rPr>
          <w:color w:val="000000"/>
          <w:sz w:val="28"/>
          <w:szCs w:val="28"/>
          <w:lang w:val="en-US"/>
        </w:rPr>
        <w:t>X</w:t>
      </w:r>
      <w:r>
        <w:rPr>
          <w:color w:val="000000"/>
          <w:sz w:val="28"/>
          <w:szCs w:val="28"/>
        </w:rPr>
        <w:t>. Приложения</w:t>
      </w:r>
    </w:p>
    <w:p w14:paraId="337BB1AE" w14:textId="77777777" w:rsidR="00A92D87" w:rsidRDefault="00A92D87" w:rsidP="00464A55">
      <w:pPr>
        <w:jc w:val="center"/>
        <w:rPr>
          <w:b/>
          <w:sz w:val="28"/>
          <w:szCs w:val="28"/>
        </w:rPr>
      </w:pPr>
    </w:p>
    <w:p w14:paraId="3CD819B7" w14:textId="77777777" w:rsidR="00173F7D" w:rsidRDefault="00173F7D" w:rsidP="00464A55">
      <w:pPr>
        <w:jc w:val="center"/>
        <w:rPr>
          <w:b/>
          <w:sz w:val="28"/>
          <w:szCs w:val="28"/>
        </w:rPr>
      </w:pPr>
    </w:p>
    <w:p w14:paraId="0EB73B2D" w14:textId="77777777" w:rsidR="00173F7D" w:rsidRDefault="00173F7D" w:rsidP="00464A55">
      <w:pPr>
        <w:jc w:val="center"/>
        <w:rPr>
          <w:b/>
          <w:sz w:val="28"/>
          <w:szCs w:val="28"/>
        </w:rPr>
      </w:pPr>
    </w:p>
    <w:p w14:paraId="2665E120" w14:textId="77777777" w:rsidR="00173F7D" w:rsidRDefault="00173F7D" w:rsidP="00464A55">
      <w:pPr>
        <w:jc w:val="center"/>
        <w:rPr>
          <w:b/>
          <w:sz w:val="28"/>
          <w:szCs w:val="28"/>
        </w:rPr>
      </w:pPr>
    </w:p>
    <w:p w14:paraId="2D7A4FCF" w14:textId="77777777" w:rsidR="00173F7D" w:rsidRDefault="00173F7D" w:rsidP="00464A55">
      <w:pPr>
        <w:jc w:val="center"/>
        <w:rPr>
          <w:b/>
          <w:sz w:val="28"/>
          <w:szCs w:val="28"/>
        </w:rPr>
      </w:pPr>
    </w:p>
    <w:p w14:paraId="4854811B" w14:textId="77777777" w:rsidR="00173F7D" w:rsidRDefault="00173F7D" w:rsidP="00464A55">
      <w:pPr>
        <w:jc w:val="center"/>
        <w:rPr>
          <w:b/>
          <w:sz w:val="28"/>
          <w:szCs w:val="28"/>
        </w:rPr>
      </w:pPr>
    </w:p>
    <w:p w14:paraId="6CE9B888" w14:textId="77777777" w:rsidR="00173F7D" w:rsidRDefault="00173F7D" w:rsidP="00464A55">
      <w:pPr>
        <w:jc w:val="center"/>
        <w:rPr>
          <w:b/>
          <w:sz w:val="28"/>
          <w:szCs w:val="28"/>
        </w:rPr>
      </w:pPr>
    </w:p>
    <w:p w14:paraId="5D591D6F" w14:textId="77777777" w:rsidR="00173F7D" w:rsidRDefault="00173F7D" w:rsidP="00464A55">
      <w:pPr>
        <w:jc w:val="center"/>
        <w:rPr>
          <w:b/>
          <w:sz w:val="28"/>
          <w:szCs w:val="28"/>
        </w:rPr>
      </w:pPr>
    </w:p>
    <w:p w14:paraId="3ECB180C" w14:textId="77777777" w:rsidR="00173F7D" w:rsidRDefault="00173F7D" w:rsidP="00464A55">
      <w:pPr>
        <w:jc w:val="center"/>
        <w:rPr>
          <w:b/>
          <w:sz w:val="28"/>
          <w:szCs w:val="28"/>
        </w:rPr>
      </w:pPr>
    </w:p>
    <w:p w14:paraId="10664D58" w14:textId="77777777" w:rsidR="00173F7D" w:rsidRDefault="00173F7D" w:rsidP="00464A55">
      <w:pPr>
        <w:jc w:val="center"/>
        <w:rPr>
          <w:b/>
          <w:sz w:val="28"/>
          <w:szCs w:val="28"/>
        </w:rPr>
      </w:pPr>
    </w:p>
    <w:p w14:paraId="3FB1D94C" w14:textId="77777777" w:rsidR="00173F7D" w:rsidRDefault="00173F7D" w:rsidP="00464A55">
      <w:pPr>
        <w:jc w:val="center"/>
        <w:rPr>
          <w:b/>
          <w:sz w:val="28"/>
          <w:szCs w:val="28"/>
        </w:rPr>
      </w:pPr>
    </w:p>
    <w:p w14:paraId="24EA1885" w14:textId="77777777" w:rsidR="00173F7D" w:rsidRDefault="00173F7D" w:rsidP="00464A55">
      <w:pPr>
        <w:jc w:val="center"/>
        <w:rPr>
          <w:b/>
          <w:sz w:val="28"/>
          <w:szCs w:val="28"/>
        </w:rPr>
      </w:pPr>
    </w:p>
    <w:p w14:paraId="43BB6CF9" w14:textId="77777777" w:rsidR="00173F7D" w:rsidRDefault="00173F7D" w:rsidP="00464A55">
      <w:pPr>
        <w:jc w:val="center"/>
        <w:rPr>
          <w:b/>
          <w:sz w:val="28"/>
          <w:szCs w:val="28"/>
        </w:rPr>
      </w:pPr>
    </w:p>
    <w:p w14:paraId="08507150" w14:textId="77777777" w:rsidR="00173F7D" w:rsidRDefault="00173F7D" w:rsidP="00464A55">
      <w:pPr>
        <w:jc w:val="center"/>
        <w:rPr>
          <w:b/>
          <w:sz w:val="28"/>
          <w:szCs w:val="28"/>
        </w:rPr>
      </w:pPr>
    </w:p>
    <w:p w14:paraId="1117D046" w14:textId="77777777" w:rsidR="00173F7D" w:rsidRDefault="00173F7D" w:rsidP="00464A55">
      <w:pPr>
        <w:jc w:val="center"/>
        <w:rPr>
          <w:b/>
          <w:sz w:val="28"/>
          <w:szCs w:val="28"/>
        </w:rPr>
      </w:pPr>
    </w:p>
    <w:p w14:paraId="20FC11FD" w14:textId="77777777" w:rsidR="00173F7D" w:rsidRDefault="00173F7D" w:rsidP="00464A55">
      <w:pPr>
        <w:jc w:val="center"/>
        <w:rPr>
          <w:b/>
          <w:sz w:val="28"/>
          <w:szCs w:val="28"/>
        </w:rPr>
      </w:pPr>
    </w:p>
    <w:p w14:paraId="014AE49D" w14:textId="77777777" w:rsidR="00173F7D" w:rsidRDefault="00173F7D" w:rsidP="00464A55">
      <w:pPr>
        <w:jc w:val="center"/>
        <w:rPr>
          <w:b/>
          <w:sz w:val="28"/>
          <w:szCs w:val="28"/>
        </w:rPr>
      </w:pPr>
    </w:p>
    <w:p w14:paraId="31311C60" w14:textId="77777777" w:rsidR="00173F7D" w:rsidRDefault="00173F7D" w:rsidP="00464A55">
      <w:pPr>
        <w:jc w:val="center"/>
        <w:rPr>
          <w:b/>
          <w:sz w:val="28"/>
          <w:szCs w:val="28"/>
        </w:rPr>
      </w:pPr>
    </w:p>
    <w:p w14:paraId="441A5156" w14:textId="77777777" w:rsidR="00173F7D" w:rsidRDefault="00173F7D" w:rsidP="00464A55">
      <w:pPr>
        <w:jc w:val="center"/>
        <w:rPr>
          <w:b/>
          <w:sz w:val="28"/>
          <w:szCs w:val="28"/>
        </w:rPr>
      </w:pPr>
    </w:p>
    <w:p w14:paraId="6DF00ADD" w14:textId="77777777" w:rsidR="00E23D4A" w:rsidRDefault="00E23D4A" w:rsidP="00464A55">
      <w:pPr>
        <w:jc w:val="center"/>
        <w:rPr>
          <w:b/>
          <w:sz w:val="28"/>
          <w:szCs w:val="28"/>
        </w:rPr>
      </w:pPr>
    </w:p>
    <w:p w14:paraId="40AF3A01" w14:textId="77777777" w:rsidR="00173F7D" w:rsidRDefault="00173F7D" w:rsidP="00464A55">
      <w:pPr>
        <w:jc w:val="center"/>
        <w:rPr>
          <w:b/>
          <w:sz w:val="28"/>
          <w:szCs w:val="28"/>
        </w:rPr>
      </w:pPr>
    </w:p>
    <w:p w14:paraId="1D510DC9" w14:textId="77777777" w:rsidR="00173F7D" w:rsidRDefault="00173F7D" w:rsidP="00464A55">
      <w:pPr>
        <w:jc w:val="center"/>
        <w:rPr>
          <w:b/>
          <w:sz w:val="28"/>
          <w:szCs w:val="28"/>
        </w:rPr>
      </w:pPr>
    </w:p>
    <w:p w14:paraId="498A8E31" w14:textId="77777777" w:rsidR="00173F7D" w:rsidRDefault="00173F7D" w:rsidP="00464A55">
      <w:pPr>
        <w:jc w:val="center"/>
        <w:rPr>
          <w:b/>
          <w:sz w:val="28"/>
          <w:szCs w:val="28"/>
        </w:rPr>
      </w:pPr>
    </w:p>
    <w:p w14:paraId="637DD427" w14:textId="77777777" w:rsidR="00173F7D" w:rsidRPr="00004CE1" w:rsidRDefault="00173F7D" w:rsidP="00464A55">
      <w:pPr>
        <w:jc w:val="center"/>
        <w:rPr>
          <w:b/>
          <w:sz w:val="28"/>
          <w:szCs w:val="28"/>
        </w:rPr>
      </w:pPr>
    </w:p>
    <w:p w14:paraId="2B5C2153" w14:textId="77777777" w:rsidR="00E327CE" w:rsidRPr="00F15149" w:rsidRDefault="00A92D87" w:rsidP="00A92D87">
      <w:pPr>
        <w:pStyle w:val="af4"/>
        <w:spacing w:line="20" w:lineRule="atLeast"/>
        <w:ind w:left="0"/>
        <w:jc w:val="center"/>
        <w:outlineLvl w:val="0"/>
        <w:rPr>
          <w:b/>
          <w:sz w:val="28"/>
          <w:szCs w:val="28"/>
        </w:rPr>
      </w:pPr>
      <w:bookmarkStart w:id="1" w:name="_Toc388459817"/>
      <w:r>
        <w:rPr>
          <w:b/>
          <w:sz w:val="28"/>
          <w:szCs w:val="28"/>
        </w:rPr>
        <w:lastRenderedPageBreak/>
        <w:t xml:space="preserve">I. </w:t>
      </w:r>
      <w:r w:rsidRPr="00F15149">
        <w:rPr>
          <w:b/>
          <w:sz w:val="28"/>
          <w:szCs w:val="28"/>
        </w:rPr>
        <w:t>О</w:t>
      </w:r>
      <w:r w:rsidR="00E327CE" w:rsidRPr="00190E22">
        <w:rPr>
          <w:b/>
          <w:sz w:val="28"/>
          <w:szCs w:val="28"/>
        </w:rPr>
        <w:t>бщие положения.</w:t>
      </w:r>
      <w:bookmarkEnd w:id="1"/>
    </w:p>
    <w:p w14:paraId="08774113" w14:textId="77777777" w:rsidR="00E327CE" w:rsidRPr="00F15149" w:rsidRDefault="00E327CE" w:rsidP="00A92D87">
      <w:pPr>
        <w:pStyle w:val="af4"/>
        <w:spacing w:line="20" w:lineRule="atLeast"/>
        <w:ind w:left="1080"/>
        <w:rPr>
          <w:b/>
          <w:sz w:val="28"/>
          <w:szCs w:val="28"/>
        </w:rPr>
      </w:pPr>
    </w:p>
    <w:p w14:paraId="62083A29" w14:textId="77777777" w:rsidR="00004CE1" w:rsidRPr="001A2E63" w:rsidRDefault="00004CE1" w:rsidP="00004CE1">
      <w:pPr>
        <w:ind w:firstLine="709"/>
        <w:jc w:val="both"/>
        <w:rPr>
          <w:sz w:val="28"/>
          <w:szCs w:val="28"/>
        </w:rPr>
      </w:pPr>
      <w:r w:rsidRPr="001A2E63">
        <w:rPr>
          <w:sz w:val="28"/>
          <w:szCs w:val="28"/>
        </w:rPr>
        <w:t>Федеральная антимонопольная служба в рамках реализации своих полномочий, на основании приказа ФАС России от 28.04.2010 № 220 «Об утверждении Порядка проведения анализа состояния конкуренции на товарном рынке» и приказа ФАС России от 05.12.2016 № 1718/16 «О плане работы по анализу состояния конкуренции на товарных рынках на 2017-2018 годы» провела анализ состояния конкурен</w:t>
      </w:r>
      <w:r>
        <w:rPr>
          <w:sz w:val="28"/>
          <w:szCs w:val="28"/>
        </w:rPr>
        <w:t xml:space="preserve">ции </w:t>
      </w:r>
      <w:r w:rsidRPr="002032CD">
        <w:rPr>
          <w:sz w:val="28"/>
          <w:szCs w:val="28"/>
        </w:rPr>
        <w:t xml:space="preserve">на рынке </w:t>
      </w:r>
      <w:r w:rsidRPr="008043C7">
        <w:rPr>
          <w:color w:val="000000" w:themeColor="text1"/>
          <w:sz w:val="28"/>
          <w:szCs w:val="28"/>
        </w:rPr>
        <w:t>услуг</w:t>
      </w:r>
      <w:r>
        <w:rPr>
          <w:color w:val="000000" w:themeColor="text1"/>
          <w:sz w:val="28"/>
          <w:szCs w:val="28"/>
        </w:rPr>
        <w:t>, оказываемых владельцами</w:t>
      </w:r>
      <w:r w:rsidRPr="008043C7">
        <w:rPr>
          <w:color w:val="000000" w:themeColor="text1"/>
          <w:sz w:val="28"/>
          <w:szCs w:val="28"/>
        </w:rPr>
        <w:t xml:space="preserve"> складов временного хранения (далее – СВХ)</w:t>
      </w:r>
      <w:r w:rsidRPr="001A2E63">
        <w:rPr>
          <w:sz w:val="28"/>
          <w:szCs w:val="28"/>
        </w:rPr>
        <w:t>.</w:t>
      </w:r>
    </w:p>
    <w:p w14:paraId="70AC22F0" w14:textId="77777777" w:rsidR="00004CE1" w:rsidRPr="001A2E63" w:rsidRDefault="00004CE1" w:rsidP="00004CE1">
      <w:pPr>
        <w:ind w:firstLine="709"/>
        <w:jc w:val="both"/>
        <w:rPr>
          <w:sz w:val="28"/>
          <w:szCs w:val="28"/>
        </w:rPr>
      </w:pPr>
      <w:r w:rsidRPr="001A2E63">
        <w:rPr>
          <w:sz w:val="28"/>
          <w:szCs w:val="28"/>
        </w:rPr>
        <w:t>Анализ проводился Контрольно-финансовым управлением ФАС России (далее –Управление) самостоятельно.</w:t>
      </w:r>
    </w:p>
    <w:p w14:paraId="416CC057" w14:textId="1B9F963D" w:rsidR="00304C61" w:rsidRPr="00ED3B8A" w:rsidRDefault="00304C61" w:rsidP="00304C61">
      <w:pPr>
        <w:autoSpaceDE w:val="0"/>
        <w:autoSpaceDN w:val="0"/>
        <w:adjustRightInd w:val="0"/>
        <w:ind w:firstLine="709"/>
        <w:jc w:val="both"/>
        <w:rPr>
          <w:sz w:val="28"/>
          <w:szCs w:val="28"/>
        </w:rPr>
      </w:pPr>
      <w:r w:rsidRPr="001A2E63">
        <w:rPr>
          <w:sz w:val="28"/>
          <w:szCs w:val="28"/>
        </w:rPr>
        <w:t>Целью исследования является анализ и оценка состояния конкурен</w:t>
      </w:r>
      <w:r>
        <w:rPr>
          <w:sz w:val="28"/>
          <w:szCs w:val="28"/>
        </w:rPr>
        <w:t xml:space="preserve">ции </w:t>
      </w:r>
      <w:r w:rsidRPr="001A2E63">
        <w:rPr>
          <w:sz w:val="28"/>
          <w:szCs w:val="28"/>
        </w:rPr>
        <w:t xml:space="preserve">на </w:t>
      </w:r>
      <w:r>
        <w:rPr>
          <w:sz w:val="28"/>
          <w:szCs w:val="28"/>
        </w:rPr>
        <w:t>рынке услуг, оказываемых владельцами СВХ,</w:t>
      </w:r>
      <w:r w:rsidRPr="00304C61">
        <w:rPr>
          <w:sz w:val="28"/>
          <w:szCs w:val="28"/>
        </w:rPr>
        <w:t xml:space="preserve"> </w:t>
      </w:r>
      <w:r w:rsidRPr="001A2E63">
        <w:rPr>
          <w:sz w:val="28"/>
          <w:szCs w:val="28"/>
        </w:rPr>
        <w:t xml:space="preserve">и выявление хозяйствующих субъектов, занимающих доминирующее положение, выявление барьеров входа на </w:t>
      </w:r>
      <w:r w:rsidRPr="00ED3B8A">
        <w:rPr>
          <w:sz w:val="28"/>
          <w:szCs w:val="28"/>
        </w:rPr>
        <w:t xml:space="preserve">рынок (выхода с рынка) и проблем, влияющих на развитие конкуренции на рассматриваемом рынке, а также предупреждение и выявление нарушений антимонопольного </w:t>
      </w:r>
      <w:r w:rsidR="00326143" w:rsidRPr="00ED3B8A">
        <w:rPr>
          <w:sz w:val="28"/>
          <w:szCs w:val="28"/>
        </w:rPr>
        <w:t xml:space="preserve">и таможенного </w:t>
      </w:r>
      <w:r w:rsidRPr="00ED3B8A">
        <w:rPr>
          <w:sz w:val="28"/>
          <w:szCs w:val="28"/>
        </w:rPr>
        <w:t>законодательства</w:t>
      </w:r>
      <w:r w:rsidR="00326143" w:rsidRPr="00ED3B8A">
        <w:rPr>
          <w:sz w:val="28"/>
          <w:szCs w:val="28"/>
        </w:rPr>
        <w:t>, в том числе в части установления присутствия на рынке организаций и государственных унитарных предприятий таможенных органов, включая их филиалы и представительства, а также иных организаций, участниками (членами) которых прямо или косвенно являются эти организации или государственные унитарные предприятия</w:t>
      </w:r>
      <w:r w:rsidRPr="00ED3B8A">
        <w:rPr>
          <w:sz w:val="28"/>
          <w:szCs w:val="28"/>
        </w:rPr>
        <w:t>.</w:t>
      </w:r>
    </w:p>
    <w:p w14:paraId="041BB129" w14:textId="495805B7" w:rsidR="00304C61" w:rsidRPr="001A2E63" w:rsidRDefault="00304C61" w:rsidP="00304C61">
      <w:pPr>
        <w:autoSpaceDE w:val="0"/>
        <w:autoSpaceDN w:val="0"/>
        <w:adjustRightInd w:val="0"/>
        <w:ind w:firstLine="709"/>
        <w:jc w:val="both"/>
        <w:rPr>
          <w:sz w:val="28"/>
          <w:szCs w:val="28"/>
        </w:rPr>
      </w:pPr>
      <w:r w:rsidRPr="00ED3B8A">
        <w:rPr>
          <w:sz w:val="28"/>
          <w:szCs w:val="28"/>
        </w:rPr>
        <w:t>Анализ и оценка состояния конкуренции на рынке услуг, оказываемых владельцами СВХ, и установление доминирующего положения хозяйствующих</w:t>
      </w:r>
      <w:r w:rsidRPr="001A2E63">
        <w:rPr>
          <w:sz w:val="28"/>
          <w:szCs w:val="28"/>
        </w:rPr>
        <w:t xml:space="preserve"> субъектов (далее – Аналитическое исследование) осуществлялись Управлением в соответствии с:</w:t>
      </w:r>
    </w:p>
    <w:p w14:paraId="3568266C" w14:textId="77777777" w:rsidR="00304C61" w:rsidRPr="001A2E63" w:rsidRDefault="00304C61" w:rsidP="00304C61">
      <w:pPr>
        <w:numPr>
          <w:ilvl w:val="0"/>
          <w:numId w:val="19"/>
        </w:numPr>
        <w:autoSpaceDE w:val="0"/>
        <w:autoSpaceDN w:val="0"/>
        <w:adjustRightInd w:val="0"/>
        <w:ind w:left="0" w:firstLine="709"/>
        <w:contextualSpacing/>
        <w:jc w:val="both"/>
        <w:rPr>
          <w:sz w:val="28"/>
          <w:szCs w:val="28"/>
        </w:rPr>
      </w:pPr>
      <w:r w:rsidRPr="001A2E63">
        <w:rPr>
          <w:sz w:val="28"/>
          <w:szCs w:val="28"/>
        </w:rPr>
        <w:t>Федеральным законом от 26.07.2006 № 135-ФЗ «О защите конкуренции» (далее - Закон о защите конкуренции);</w:t>
      </w:r>
    </w:p>
    <w:p w14:paraId="7796BD5F" w14:textId="3B1909E6" w:rsidR="00304C61" w:rsidRPr="001A2E63" w:rsidRDefault="00304C61" w:rsidP="00304C61">
      <w:pPr>
        <w:numPr>
          <w:ilvl w:val="0"/>
          <w:numId w:val="19"/>
        </w:numPr>
        <w:autoSpaceDE w:val="0"/>
        <w:autoSpaceDN w:val="0"/>
        <w:adjustRightInd w:val="0"/>
        <w:ind w:left="0" w:firstLine="709"/>
        <w:contextualSpacing/>
        <w:jc w:val="both"/>
        <w:rPr>
          <w:sz w:val="28"/>
          <w:szCs w:val="28"/>
        </w:rPr>
      </w:pPr>
      <w:r w:rsidRPr="001A2E63">
        <w:rPr>
          <w:sz w:val="28"/>
          <w:szCs w:val="28"/>
        </w:rPr>
        <w:t>Порядком проведения анализа состояния конкуренции на товарном рынке, утвержденным приказом ФАС</w:t>
      </w:r>
      <w:r w:rsidR="00A106EE">
        <w:rPr>
          <w:sz w:val="28"/>
          <w:szCs w:val="28"/>
        </w:rPr>
        <w:t xml:space="preserve"> России от 28.04.2010 № 220 «Об </w:t>
      </w:r>
      <w:r w:rsidRPr="001A2E63">
        <w:rPr>
          <w:sz w:val="28"/>
          <w:szCs w:val="28"/>
        </w:rPr>
        <w:t>утверждении Порядка проведения анализа состояния конкуренции на товарном рынке» (далее - Порядок);</w:t>
      </w:r>
    </w:p>
    <w:p w14:paraId="6CEBD1EE" w14:textId="77777777" w:rsidR="00304C61" w:rsidRPr="001A2E63" w:rsidRDefault="00304C61" w:rsidP="00304C61">
      <w:pPr>
        <w:numPr>
          <w:ilvl w:val="0"/>
          <w:numId w:val="19"/>
        </w:numPr>
        <w:autoSpaceDE w:val="0"/>
        <w:autoSpaceDN w:val="0"/>
        <w:adjustRightInd w:val="0"/>
        <w:ind w:left="0" w:firstLine="709"/>
        <w:contextualSpacing/>
        <w:jc w:val="both"/>
        <w:rPr>
          <w:sz w:val="28"/>
          <w:szCs w:val="28"/>
        </w:rPr>
      </w:pPr>
      <w:r w:rsidRPr="001A2E63">
        <w:rPr>
          <w:sz w:val="28"/>
          <w:szCs w:val="28"/>
        </w:rPr>
        <w:t>Административным регламентом Федеральной антимонопольной службы по исполнению государственной функции по установлению доминирующего положения хозяйствующего субъекта при рассмотрении заявлений, материалов, дел о нарушении антимонопольного законодательства и при осуществлении государственного контроля за экономической концентрацией, утвержденным приказом ФАС России от 25.05.2012 № 345 «Об утверждении административного регламента Федеральной антимонопольной службы по исполнению государственной функции по установлению доминирующего положения хозяйствующего субъекта при рассмотрении заявлений, материалов, дел о нарушении антимонопольного законодательства и при осуществлении государственного контроля за экономической концентрацией».</w:t>
      </w:r>
    </w:p>
    <w:p w14:paraId="2DE1915F" w14:textId="77777777" w:rsidR="00304C61" w:rsidRPr="001A2E63" w:rsidRDefault="00304C61" w:rsidP="00304C61">
      <w:pPr>
        <w:autoSpaceDE w:val="0"/>
        <w:autoSpaceDN w:val="0"/>
        <w:adjustRightInd w:val="0"/>
        <w:ind w:firstLine="709"/>
        <w:jc w:val="both"/>
        <w:rPr>
          <w:sz w:val="28"/>
          <w:szCs w:val="28"/>
        </w:rPr>
      </w:pPr>
      <w:r w:rsidRPr="001A2E63">
        <w:rPr>
          <w:sz w:val="28"/>
          <w:szCs w:val="28"/>
        </w:rPr>
        <w:lastRenderedPageBreak/>
        <w:t>Для разработки Аналитического исследования Управление провело комплекс мер по сбору и обработке необходимой информации в соответствии с пунктом 1.5 Порядка.</w:t>
      </w:r>
    </w:p>
    <w:p w14:paraId="55FF54CA" w14:textId="77777777" w:rsidR="00304C61" w:rsidRPr="001A2E63" w:rsidRDefault="00304C61" w:rsidP="00304C61">
      <w:pPr>
        <w:ind w:firstLine="709"/>
        <w:jc w:val="both"/>
        <w:rPr>
          <w:sz w:val="28"/>
          <w:szCs w:val="28"/>
        </w:rPr>
      </w:pPr>
      <w:r w:rsidRPr="001A2E63">
        <w:rPr>
          <w:sz w:val="28"/>
          <w:szCs w:val="28"/>
        </w:rPr>
        <w:t xml:space="preserve">Для проведения исследования использовалась информация и материалы, полученные ФАС России от: </w:t>
      </w:r>
    </w:p>
    <w:p w14:paraId="3F64B38F" w14:textId="77777777" w:rsidR="00304C61" w:rsidRPr="001A2E63" w:rsidRDefault="00304C61" w:rsidP="00304C61">
      <w:pPr>
        <w:tabs>
          <w:tab w:val="left" w:pos="900"/>
        </w:tabs>
        <w:ind w:firstLine="709"/>
        <w:jc w:val="both"/>
        <w:rPr>
          <w:sz w:val="28"/>
          <w:szCs w:val="28"/>
        </w:rPr>
      </w:pPr>
      <w:r w:rsidRPr="001A2E63">
        <w:rPr>
          <w:sz w:val="28"/>
          <w:szCs w:val="28"/>
        </w:rPr>
        <w:t>-</w:t>
      </w:r>
      <w:r w:rsidRPr="001A2E63">
        <w:rPr>
          <w:sz w:val="28"/>
          <w:szCs w:val="28"/>
          <w:lang w:val="en-US"/>
        </w:rPr>
        <w:t> </w:t>
      </w:r>
      <w:r w:rsidRPr="001A2E63">
        <w:rPr>
          <w:sz w:val="28"/>
          <w:szCs w:val="28"/>
        </w:rPr>
        <w:t xml:space="preserve">Федеральной таможенной службы (ФТС России);  </w:t>
      </w:r>
    </w:p>
    <w:p w14:paraId="154942A7" w14:textId="77777777" w:rsidR="00304C61" w:rsidRPr="001A2E63" w:rsidRDefault="00304C61" w:rsidP="00304C61">
      <w:pPr>
        <w:tabs>
          <w:tab w:val="left" w:pos="900"/>
        </w:tabs>
        <w:ind w:firstLine="709"/>
        <w:jc w:val="both"/>
        <w:rPr>
          <w:sz w:val="28"/>
          <w:szCs w:val="28"/>
        </w:rPr>
      </w:pPr>
      <w:r w:rsidRPr="001A2E63">
        <w:rPr>
          <w:sz w:val="28"/>
          <w:szCs w:val="28"/>
        </w:rPr>
        <w:t>- Федеральной налоговой службы (ФНС России);</w:t>
      </w:r>
    </w:p>
    <w:p w14:paraId="67CB89C0" w14:textId="77777777" w:rsidR="00E327CE" w:rsidRPr="00825B61" w:rsidRDefault="00E327CE" w:rsidP="00304C61">
      <w:pPr>
        <w:tabs>
          <w:tab w:val="left" w:pos="900"/>
        </w:tabs>
        <w:spacing w:line="20" w:lineRule="atLeast"/>
        <w:ind w:firstLine="709"/>
        <w:jc w:val="both"/>
        <w:rPr>
          <w:sz w:val="28"/>
          <w:szCs w:val="28"/>
        </w:rPr>
      </w:pPr>
      <w:r>
        <w:rPr>
          <w:sz w:val="28"/>
          <w:szCs w:val="28"/>
        </w:rPr>
        <w:t xml:space="preserve">- </w:t>
      </w:r>
      <w:r w:rsidRPr="00455FB0">
        <w:rPr>
          <w:sz w:val="28"/>
          <w:szCs w:val="28"/>
        </w:rPr>
        <w:t>хозяйствующих субъектов</w:t>
      </w:r>
      <w:r>
        <w:rPr>
          <w:sz w:val="28"/>
          <w:szCs w:val="28"/>
        </w:rPr>
        <w:t>,</w:t>
      </w:r>
      <w:r w:rsidR="00FA076D">
        <w:rPr>
          <w:sz w:val="28"/>
          <w:szCs w:val="28"/>
        </w:rPr>
        <w:t xml:space="preserve"> действующих на рынке услуг</w:t>
      </w:r>
      <w:r w:rsidRPr="005D0BED">
        <w:rPr>
          <w:sz w:val="28"/>
          <w:szCs w:val="28"/>
        </w:rPr>
        <w:t xml:space="preserve">, </w:t>
      </w:r>
      <w:r w:rsidR="00FA076D">
        <w:rPr>
          <w:sz w:val="28"/>
          <w:szCs w:val="28"/>
        </w:rPr>
        <w:t xml:space="preserve">оказываемых </w:t>
      </w:r>
      <w:r w:rsidRPr="005D0BED">
        <w:rPr>
          <w:sz w:val="28"/>
          <w:szCs w:val="28"/>
        </w:rPr>
        <w:t>владельцами складов временного хранения</w:t>
      </w:r>
      <w:r w:rsidRPr="00825B61">
        <w:rPr>
          <w:sz w:val="28"/>
          <w:szCs w:val="28"/>
        </w:rPr>
        <w:t>.</w:t>
      </w:r>
    </w:p>
    <w:p w14:paraId="06708962" w14:textId="77777777" w:rsidR="00E327CE" w:rsidRPr="001D6E45" w:rsidRDefault="00E327CE" w:rsidP="00A92D87">
      <w:pPr>
        <w:spacing w:line="20" w:lineRule="atLeast"/>
        <w:jc w:val="center"/>
        <w:rPr>
          <w:sz w:val="28"/>
          <w:szCs w:val="28"/>
        </w:rPr>
      </w:pPr>
    </w:p>
    <w:p w14:paraId="26532708" w14:textId="77777777" w:rsidR="00E327CE" w:rsidRPr="00B020F9" w:rsidRDefault="00A92D87" w:rsidP="00A92D87">
      <w:pPr>
        <w:pStyle w:val="af4"/>
        <w:spacing w:line="20" w:lineRule="atLeast"/>
        <w:ind w:left="0"/>
        <w:jc w:val="center"/>
        <w:outlineLvl w:val="0"/>
        <w:rPr>
          <w:b/>
          <w:sz w:val="28"/>
          <w:szCs w:val="28"/>
        </w:rPr>
      </w:pPr>
      <w:bookmarkStart w:id="2" w:name="_Toc388459818"/>
      <w:r>
        <w:rPr>
          <w:b/>
          <w:sz w:val="28"/>
          <w:szCs w:val="28"/>
          <w:lang w:val="en-US"/>
        </w:rPr>
        <w:t>II</w:t>
      </w:r>
      <w:r w:rsidRPr="00A92D87">
        <w:rPr>
          <w:b/>
          <w:sz w:val="28"/>
          <w:szCs w:val="28"/>
        </w:rPr>
        <w:t xml:space="preserve">. </w:t>
      </w:r>
      <w:r w:rsidR="00E327CE">
        <w:rPr>
          <w:b/>
          <w:sz w:val="28"/>
          <w:szCs w:val="28"/>
        </w:rPr>
        <w:t>В</w:t>
      </w:r>
      <w:r w:rsidR="00E327CE" w:rsidRPr="00B020F9">
        <w:rPr>
          <w:b/>
          <w:sz w:val="28"/>
          <w:szCs w:val="28"/>
        </w:rPr>
        <w:t>р</w:t>
      </w:r>
      <w:r w:rsidR="00E327CE">
        <w:rPr>
          <w:b/>
          <w:sz w:val="28"/>
          <w:szCs w:val="28"/>
        </w:rPr>
        <w:t>еменной интервал</w:t>
      </w:r>
      <w:r w:rsidR="00E327CE" w:rsidRPr="00B020F9">
        <w:rPr>
          <w:b/>
          <w:sz w:val="28"/>
          <w:szCs w:val="28"/>
        </w:rPr>
        <w:t xml:space="preserve"> исследования</w:t>
      </w:r>
      <w:bookmarkEnd w:id="2"/>
    </w:p>
    <w:p w14:paraId="5F0D1ABF" w14:textId="77777777" w:rsidR="00E327CE" w:rsidRPr="00B020F9" w:rsidRDefault="00E327CE" w:rsidP="00A92D87">
      <w:pPr>
        <w:pStyle w:val="af4"/>
        <w:spacing w:line="20" w:lineRule="atLeast"/>
        <w:ind w:left="1080"/>
        <w:jc w:val="both"/>
        <w:rPr>
          <w:b/>
          <w:sz w:val="28"/>
          <w:szCs w:val="28"/>
        </w:rPr>
      </w:pPr>
    </w:p>
    <w:p w14:paraId="14C7FE1C" w14:textId="77777777" w:rsidR="00E327CE" w:rsidRDefault="00E327CE" w:rsidP="00A92D87">
      <w:pPr>
        <w:pStyle w:val="ae"/>
        <w:spacing w:line="20" w:lineRule="atLeast"/>
        <w:ind w:firstLine="720"/>
        <w:rPr>
          <w:szCs w:val="28"/>
        </w:rPr>
      </w:pPr>
      <w:r>
        <w:rPr>
          <w:szCs w:val="28"/>
        </w:rPr>
        <w:t>В соответствии с целями исследования для изучения сложившихся характеристик рассматриваемого товарного рынка проводился ретроспективный анализ состояния конкурентной среды за период с 01.01.201</w:t>
      </w:r>
      <w:r w:rsidR="00910FE6">
        <w:rPr>
          <w:szCs w:val="28"/>
        </w:rPr>
        <w:t>5 по 31.12.2016</w:t>
      </w:r>
      <w:r>
        <w:rPr>
          <w:szCs w:val="28"/>
        </w:rPr>
        <w:t xml:space="preserve"> (далее – исследуемый период времени).</w:t>
      </w:r>
    </w:p>
    <w:p w14:paraId="46C805F2" w14:textId="77777777" w:rsidR="00F66B6F" w:rsidRDefault="00F66B6F" w:rsidP="00A92D87">
      <w:pPr>
        <w:pStyle w:val="ae"/>
        <w:spacing w:line="20" w:lineRule="atLeast"/>
        <w:ind w:firstLine="720"/>
        <w:rPr>
          <w:szCs w:val="28"/>
        </w:rPr>
      </w:pPr>
    </w:p>
    <w:p w14:paraId="576C4127" w14:textId="77777777" w:rsidR="00E327CE" w:rsidRPr="00A92D87" w:rsidRDefault="00A92D87" w:rsidP="00A92D87">
      <w:pPr>
        <w:pStyle w:val="1"/>
        <w:spacing w:before="0" w:beforeAutospacing="0" w:after="0" w:afterAutospacing="0" w:line="20" w:lineRule="atLeast"/>
        <w:jc w:val="center"/>
        <w:rPr>
          <w:sz w:val="28"/>
          <w:szCs w:val="28"/>
        </w:rPr>
      </w:pPr>
      <w:bookmarkStart w:id="3" w:name="_Toc388459819"/>
      <w:r w:rsidRPr="00A92D87">
        <w:rPr>
          <w:sz w:val="28"/>
          <w:szCs w:val="28"/>
          <w:lang w:val="en-US"/>
        </w:rPr>
        <w:t>III</w:t>
      </w:r>
      <w:r w:rsidRPr="00A92D87">
        <w:rPr>
          <w:sz w:val="28"/>
          <w:szCs w:val="28"/>
        </w:rPr>
        <w:t xml:space="preserve">. </w:t>
      </w:r>
      <w:r w:rsidR="00E327CE" w:rsidRPr="00A92D87">
        <w:rPr>
          <w:sz w:val="28"/>
          <w:szCs w:val="28"/>
        </w:rPr>
        <w:t>Продуктовые границы товарного рынка</w:t>
      </w:r>
      <w:bookmarkEnd w:id="3"/>
    </w:p>
    <w:p w14:paraId="6F0C4BDC" w14:textId="77777777" w:rsidR="00E327CE" w:rsidRPr="002D6B42" w:rsidRDefault="00E327CE" w:rsidP="00A92D87">
      <w:pPr>
        <w:spacing w:line="20" w:lineRule="atLeast"/>
        <w:ind w:left="1069"/>
        <w:jc w:val="both"/>
        <w:rPr>
          <w:b/>
          <w:sz w:val="28"/>
          <w:szCs w:val="28"/>
        </w:rPr>
      </w:pPr>
    </w:p>
    <w:p w14:paraId="45C716D4" w14:textId="02BD087C" w:rsidR="00E327CE" w:rsidRPr="00CE215C" w:rsidRDefault="00E327CE" w:rsidP="00A92D87">
      <w:pPr>
        <w:pStyle w:val="af0"/>
        <w:spacing w:before="0" w:beforeAutospacing="0" w:after="0" w:line="20" w:lineRule="atLeast"/>
        <w:ind w:firstLine="709"/>
        <w:jc w:val="both"/>
        <w:rPr>
          <w:color w:val="000000" w:themeColor="text1"/>
          <w:sz w:val="28"/>
          <w:szCs w:val="28"/>
        </w:rPr>
      </w:pPr>
      <w:r w:rsidRPr="00CE215C">
        <w:rPr>
          <w:color w:val="000000" w:themeColor="text1"/>
          <w:sz w:val="28"/>
          <w:szCs w:val="28"/>
        </w:rPr>
        <w:t>Товаром на изучаемом рынке является комп</w:t>
      </w:r>
      <w:r w:rsidR="000358F5">
        <w:rPr>
          <w:color w:val="000000" w:themeColor="text1"/>
          <w:sz w:val="28"/>
          <w:szCs w:val="28"/>
        </w:rPr>
        <w:t>лекс услуг временного хранения</w:t>
      </w:r>
      <w:r w:rsidRPr="00CE215C">
        <w:rPr>
          <w:color w:val="000000" w:themeColor="text1"/>
          <w:sz w:val="28"/>
          <w:szCs w:val="28"/>
        </w:rPr>
        <w:t>, оказываемых владельцами складов временного хранения.</w:t>
      </w:r>
      <w:r w:rsidR="00930117">
        <w:rPr>
          <w:color w:val="000000" w:themeColor="text1"/>
          <w:sz w:val="28"/>
          <w:szCs w:val="28"/>
        </w:rPr>
        <w:t xml:space="preserve"> </w:t>
      </w:r>
    </w:p>
    <w:p w14:paraId="01C3B00A" w14:textId="77777777" w:rsidR="00E327CE" w:rsidRPr="00D666A9" w:rsidRDefault="00E327CE" w:rsidP="00A92D87">
      <w:pPr>
        <w:autoSpaceDE w:val="0"/>
        <w:autoSpaceDN w:val="0"/>
        <w:adjustRightInd w:val="0"/>
        <w:spacing w:line="20" w:lineRule="atLeast"/>
        <w:ind w:firstLine="709"/>
        <w:jc w:val="both"/>
        <w:rPr>
          <w:color w:val="000000" w:themeColor="text1"/>
          <w:sz w:val="28"/>
          <w:szCs w:val="28"/>
        </w:rPr>
      </w:pPr>
      <w:r w:rsidRPr="00CE215C">
        <w:rPr>
          <w:color w:val="000000" w:themeColor="text1"/>
          <w:sz w:val="28"/>
          <w:szCs w:val="28"/>
        </w:rPr>
        <w:t xml:space="preserve">Согласно статье 907 Гражданского кодекса Российской Федерации (далее – ГК РФ) товарным складом признается организация, осуществляющая в качестве предпринимательской деятельности хранение товаров и оказывающая связанные с </w:t>
      </w:r>
      <w:r w:rsidRPr="00D666A9">
        <w:rPr>
          <w:color w:val="000000" w:themeColor="text1"/>
          <w:sz w:val="28"/>
          <w:szCs w:val="28"/>
        </w:rPr>
        <w:t>данным хранением услуги.</w:t>
      </w:r>
    </w:p>
    <w:p w14:paraId="4B452E1F" w14:textId="47B91196" w:rsidR="00E327CE" w:rsidRPr="00D666A9" w:rsidRDefault="00E327CE" w:rsidP="004C5D50">
      <w:pPr>
        <w:autoSpaceDE w:val="0"/>
        <w:autoSpaceDN w:val="0"/>
        <w:adjustRightInd w:val="0"/>
        <w:spacing w:line="20" w:lineRule="atLeast"/>
        <w:ind w:firstLine="709"/>
        <w:jc w:val="both"/>
        <w:rPr>
          <w:sz w:val="28"/>
          <w:szCs w:val="28"/>
        </w:rPr>
      </w:pPr>
      <w:r w:rsidRPr="00D666A9">
        <w:rPr>
          <w:sz w:val="28"/>
          <w:szCs w:val="28"/>
        </w:rPr>
        <w:t>В соответствии</w:t>
      </w:r>
      <w:r w:rsidR="00F66B6F" w:rsidRPr="00D666A9">
        <w:rPr>
          <w:sz w:val="28"/>
          <w:szCs w:val="28"/>
        </w:rPr>
        <w:t xml:space="preserve"> со</w:t>
      </w:r>
      <w:r w:rsidRPr="00D666A9">
        <w:rPr>
          <w:sz w:val="28"/>
          <w:szCs w:val="28"/>
        </w:rPr>
        <w:t xml:space="preserve"> </w:t>
      </w:r>
      <w:r w:rsidR="00F66B6F" w:rsidRPr="00D666A9">
        <w:rPr>
          <w:sz w:val="28"/>
          <w:szCs w:val="28"/>
        </w:rPr>
        <w:t xml:space="preserve">статьей 98 главы 16 Таможенного кодекса Евразийского экономического союза </w:t>
      </w:r>
      <w:r w:rsidRPr="00D666A9">
        <w:rPr>
          <w:sz w:val="28"/>
          <w:szCs w:val="28"/>
        </w:rPr>
        <w:t>(</w:t>
      </w:r>
      <w:r w:rsidR="00F66B6F" w:rsidRPr="00D666A9">
        <w:rPr>
          <w:sz w:val="28"/>
          <w:szCs w:val="28"/>
        </w:rPr>
        <w:t xml:space="preserve">далее – </w:t>
      </w:r>
      <w:r w:rsidR="00557471">
        <w:rPr>
          <w:sz w:val="28"/>
          <w:szCs w:val="28"/>
        </w:rPr>
        <w:t>Кодекс Союза</w:t>
      </w:r>
      <w:r w:rsidRPr="00D666A9">
        <w:rPr>
          <w:sz w:val="28"/>
          <w:szCs w:val="28"/>
        </w:rPr>
        <w:t xml:space="preserve">) </w:t>
      </w:r>
      <w:r w:rsidR="00F66B6F" w:rsidRPr="00D666A9">
        <w:rPr>
          <w:sz w:val="28"/>
          <w:szCs w:val="28"/>
        </w:rPr>
        <w:t>под временным хранением товаров понимается хранение иностранных товаров в местах временного хранения до их выпуска таможенным органом, либо до получения разрешения таможенного органа на убытие товаров с таможенной территории Союза, если иностранные товары хранятся в местах перемещения товаров через таможенную границу Союза, либо до дня применения изъятия или ареста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w:t>
      </w:r>
      <w:r w:rsidR="004C5D50" w:rsidRPr="00D666A9">
        <w:t xml:space="preserve"> </w:t>
      </w:r>
    </w:p>
    <w:p w14:paraId="380747D6" w14:textId="77777777" w:rsidR="00E327CE" w:rsidRPr="00D666A9" w:rsidRDefault="00E327CE" w:rsidP="00A92D87">
      <w:pPr>
        <w:autoSpaceDE w:val="0"/>
        <w:autoSpaceDN w:val="0"/>
        <w:adjustRightInd w:val="0"/>
        <w:spacing w:line="20" w:lineRule="atLeast"/>
        <w:ind w:firstLine="709"/>
        <w:jc w:val="both"/>
        <w:rPr>
          <w:sz w:val="28"/>
          <w:szCs w:val="28"/>
        </w:rPr>
      </w:pPr>
      <w:r w:rsidRPr="00D666A9">
        <w:rPr>
          <w:sz w:val="28"/>
          <w:szCs w:val="28"/>
        </w:rPr>
        <w:t xml:space="preserve">Временное хранение товаров не применяется в отношении товаров, перемещаемых трубопроводным транспортом и по линиям электропередачи. </w:t>
      </w:r>
    </w:p>
    <w:p w14:paraId="0A5BAECB" w14:textId="1893C208" w:rsidR="00E327CE" w:rsidRDefault="00A94BDB" w:rsidP="00A94BDB">
      <w:pPr>
        <w:autoSpaceDE w:val="0"/>
        <w:autoSpaceDN w:val="0"/>
        <w:adjustRightInd w:val="0"/>
        <w:ind w:firstLine="540"/>
        <w:jc w:val="both"/>
        <w:rPr>
          <w:sz w:val="28"/>
          <w:szCs w:val="28"/>
        </w:rPr>
      </w:pPr>
      <w:r w:rsidRPr="00D666A9">
        <w:rPr>
          <w:sz w:val="28"/>
          <w:szCs w:val="28"/>
        </w:rPr>
        <w:t>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Союза, - до их выпуска либо до получения разрешения таможенного органа на убытие товаров с таможенной территории Союза).</w:t>
      </w:r>
    </w:p>
    <w:p w14:paraId="0332E43D" w14:textId="7E8F1E6C" w:rsidR="00A94BDB" w:rsidRPr="00CA5D16" w:rsidRDefault="00E327CE" w:rsidP="00A94BDB">
      <w:pPr>
        <w:autoSpaceDE w:val="0"/>
        <w:autoSpaceDN w:val="0"/>
        <w:adjustRightInd w:val="0"/>
        <w:spacing w:line="20" w:lineRule="atLeast"/>
        <w:ind w:firstLine="709"/>
        <w:jc w:val="both"/>
        <w:rPr>
          <w:sz w:val="28"/>
          <w:szCs w:val="28"/>
        </w:rPr>
      </w:pPr>
      <w:r w:rsidRPr="00D666A9">
        <w:rPr>
          <w:sz w:val="28"/>
          <w:szCs w:val="28"/>
        </w:rPr>
        <w:lastRenderedPageBreak/>
        <w:t xml:space="preserve">Максимальный </w:t>
      </w:r>
      <w:r w:rsidR="00D666A9" w:rsidRPr="00D666A9">
        <w:rPr>
          <w:sz w:val="28"/>
          <w:szCs w:val="28"/>
        </w:rPr>
        <w:t>с</w:t>
      </w:r>
      <w:r w:rsidR="00A94BDB" w:rsidRPr="00D666A9">
        <w:rPr>
          <w:sz w:val="28"/>
          <w:szCs w:val="28"/>
        </w:rPr>
        <w:t xml:space="preserve">рок временного хранения товаров исчисляется со дня, следующего за днем регистрации таможенным органом документов, </w:t>
      </w:r>
      <w:r w:rsidR="00A94BDB" w:rsidRPr="00CA5D16">
        <w:rPr>
          <w:sz w:val="28"/>
          <w:szCs w:val="28"/>
        </w:rPr>
        <w:t>представленных для помещения товаров на временное хранение, и составляет 4 месяца</w:t>
      </w:r>
      <w:r w:rsidR="00D666A9" w:rsidRPr="00CA5D16">
        <w:rPr>
          <w:sz w:val="28"/>
          <w:szCs w:val="28"/>
        </w:rPr>
        <w:t xml:space="preserve">. </w:t>
      </w:r>
      <w:r w:rsidR="00D07C48" w:rsidRPr="00CA5D16">
        <w:rPr>
          <w:sz w:val="28"/>
          <w:szCs w:val="28"/>
        </w:rPr>
        <w:t xml:space="preserve">Евразийская экономическая комиссия </w:t>
      </w:r>
      <w:r w:rsidR="00A94BDB" w:rsidRPr="00CA5D16">
        <w:rPr>
          <w:sz w:val="28"/>
          <w:szCs w:val="28"/>
        </w:rPr>
        <w:t xml:space="preserve">вправе определять для отдельных категорий товаров срок временного хранения менее </w:t>
      </w:r>
      <w:r w:rsidR="00D666A9" w:rsidRPr="00CA5D16">
        <w:rPr>
          <w:sz w:val="28"/>
          <w:szCs w:val="28"/>
        </w:rPr>
        <w:t xml:space="preserve">установленного </w:t>
      </w:r>
      <w:r w:rsidR="00A94BDB" w:rsidRPr="00CA5D16">
        <w:rPr>
          <w:sz w:val="28"/>
          <w:szCs w:val="28"/>
        </w:rPr>
        <w:t>срока</w:t>
      </w:r>
      <w:r w:rsidR="00D666A9" w:rsidRPr="00CA5D16">
        <w:rPr>
          <w:sz w:val="28"/>
          <w:szCs w:val="28"/>
        </w:rPr>
        <w:t>.</w:t>
      </w:r>
    </w:p>
    <w:p w14:paraId="57437D35" w14:textId="3D9DF0AA" w:rsidR="00AB7153" w:rsidRDefault="00AB7153" w:rsidP="00A92D87">
      <w:pPr>
        <w:autoSpaceDE w:val="0"/>
        <w:autoSpaceDN w:val="0"/>
        <w:adjustRightInd w:val="0"/>
        <w:spacing w:line="20" w:lineRule="atLeast"/>
        <w:ind w:firstLine="709"/>
        <w:jc w:val="both"/>
        <w:rPr>
          <w:sz w:val="28"/>
          <w:szCs w:val="28"/>
        </w:rPr>
      </w:pPr>
      <w:r w:rsidRPr="00CA5D16">
        <w:rPr>
          <w:sz w:val="28"/>
          <w:szCs w:val="28"/>
        </w:rPr>
        <w:t>Согласно</w:t>
      </w:r>
      <w:r w:rsidR="00B70B9D" w:rsidRPr="00CA5D16">
        <w:rPr>
          <w:sz w:val="28"/>
          <w:szCs w:val="28"/>
        </w:rPr>
        <w:t xml:space="preserve"> Федеральному закону</w:t>
      </w:r>
      <w:r w:rsidR="00B70B9D">
        <w:rPr>
          <w:sz w:val="28"/>
          <w:szCs w:val="28"/>
        </w:rPr>
        <w:t xml:space="preserve"> от 27.11.2010 №</w:t>
      </w:r>
      <w:r w:rsidR="00B70B9D" w:rsidRPr="00B70B9D">
        <w:rPr>
          <w:sz w:val="28"/>
          <w:szCs w:val="28"/>
        </w:rPr>
        <w:t xml:space="preserve"> 311-ФЗ </w:t>
      </w:r>
      <w:r w:rsidR="00B70B9D">
        <w:rPr>
          <w:sz w:val="28"/>
          <w:szCs w:val="28"/>
        </w:rPr>
        <w:t>«</w:t>
      </w:r>
      <w:r w:rsidR="00B70B9D" w:rsidRPr="00B70B9D">
        <w:rPr>
          <w:sz w:val="28"/>
          <w:szCs w:val="28"/>
        </w:rPr>
        <w:t>О таможенном регул</w:t>
      </w:r>
      <w:r w:rsidR="00B70B9D">
        <w:rPr>
          <w:sz w:val="28"/>
          <w:szCs w:val="28"/>
        </w:rPr>
        <w:t>ировании в Российской Федерации»</w:t>
      </w:r>
      <w:r w:rsidR="00557471">
        <w:rPr>
          <w:sz w:val="28"/>
          <w:szCs w:val="28"/>
        </w:rPr>
        <w:t xml:space="preserve"> (далее – Закон о таможенном регулировании) </w:t>
      </w:r>
      <w:r>
        <w:rPr>
          <w:sz w:val="28"/>
          <w:szCs w:val="28"/>
        </w:rPr>
        <w:t>п</w:t>
      </w:r>
      <w:r w:rsidRPr="00AB7153">
        <w:rPr>
          <w:sz w:val="28"/>
          <w:szCs w:val="28"/>
        </w:rPr>
        <w:t>орядок учреждения и функционирования складов временного хранения, в том числе складов временного хранения таможенных органов, устанавливается федеральным органом исполнительной власти, осуществляющим функции по контролю и надзору в области таможенного дела</w:t>
      </w:r>
      <w:r>
        <w:rPr>
          <w:sz w:val="28"/>
          <w:szCs w:val="28"/>
        </w:rPr>
        <w:t xml:space="preserve"> – Федеральной таможенной службой (ФТС России)</w:t>
      </w:r>
      <w:r w:rsidRPr="00AB7153">
        <w:rPr>
          <w:sz w:val="28"/>
          <w:szCs w:val="28"/>
        </w:rPr>
        <w:t>.</w:t>
      </w:r>
    </w:p>
    <w:p w14:paraId="5F75B2D7" w14:textId="1611E0DB" w:rsidR="00E327CE" w:rsidRDefault="00AB7153" w:rsidP="00A92D87">
      <w:pPr>
        <w:autoSpaceDE w:val="0"/>
        <w:autoSpaceDN w:val="0"/>
        <w:adjustRightInd w:val="0"/>
        <w:spacing w:line="20" w:lineRule="atLeast"/>
        <w:ind w:firstLine="709"/>
        <w:jc w:val="both"/>
        <w:rPr>
          <w:color w:val="000000" w:themeColor="text1"/>
          <w:sz w:val="28"/>
          <w:szCs w:val="28"/>
        </w:rPr>
      </w:pPr>
      <w:r>
        <w:rPr>
          <w:sz w:val="28"/>
          <w:szCs w:val="28"/>
        </w:rPr>
        <w:t>В</w:t>
      </w:r>
      <w:r w:rsidR="00E327CE" w:rsidRPr="00E62C94">
        <w:rPr>
          <w:sz w:val="28"/>
          <w:szCs w:val="28"/>
        </w:rPr>
        <w:t xml:space="preserve">ладельцем склада временного хранения может быть российское юридическое лицо, включенное в реестр владельцев </w:t>
      </w:r>
      <w:r w:rsidR="00E327CE" w:rsidRPr="00D3009F">
        <w:rPr>
          <w:color w:val="000000" w:themeColor="text1"/>
          <w:sz w:val="28"/>
          <w:szCs w:val="28"/>
        </w:rPr>
        <w:t>СВХ</w:t>
      </w:r>
      <w:r w:rsidR="00D3009F" w:rsidRPr="00D3009F">
        <w:rPr>
          <w:color w:val="000000" w:themeColor="text1"/>
          <w:sz w:val="28"/>
          <w:szCs w:val="28"/>
        </w:rPr>
        <w:t>.</w:t>
      </w:r>
    </w:p>
    <w:p w14:paraId="209E8559" w14:textId="68F98356" w:rsidR="00557471" w:rsidRPr="00557471" w:rsidRDefault="00557471" w:rsidP="00557471">
      <w:pPr>
        <w:autoSpaceDE w:val="0"/>
        <w:autoSpaceDN w:val="0"/>
        <w:adjustRightInd w:val="0"/>
        <w:spacing w:line="20" w:lineRule="atLeast"/>
        <w:ind w:firstLine="709"/>
        <w:jc w:val="both"/>
        <w:rPr>
          <w:sz w:val="28"/>
          <w:szCs w:val="28"/>
        </w:rPr>
      </w:pPr>
      <w:r>
        <w:rPr>
          <w:sz w:val="28"/>
          <w:szCs w:val="28"/>
        </w:rPr>
        <w:t>Согласно статье 414 Кодекса Союза в</w:t>
      </w:r>
      <w:r w:rsidRPr="00557471">
        <w:rPr>
          <w:sz w:val="28"/>
          <w:szCs w:val="28"/>
        </w:rPr>
        <w:t>ладелец склада временного хранения обязан</w:t>
      </w:r>
      <w:r>
        <w:rPr>
          <w:sz w:val="28"/>
          <w:szCs w:val="28"/>
        </w:rPr>
        <w:t>, в том числе</w:t>
      </w:r>
      <w:r w:rsidRPr="00557471">
        <w:rPr>
          <w:sz w:val="28"/>
          <w:szCs w:val="28"/>
        </w:rPr>
        <w:t>:</w:t>
      </w:r>
    </w:p>
    <w:p w14:paraId="7C6E624C" w14:textId="2CB2346F"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 xml:space="preserve">соблюдать условия включения в реестр владельцев складов временного хранения, установленные </w:t>
      </w:r>
      <w:r>
        <w:rPr>
          <w:sz w:val="28"/>
          <w:szCs w:val="28"/>
        </w:rPr>
        <w:t>настоящим</w:t>
      </w:r>
      <w:r w:rsidRPr="00557471">
        <w:rPr>
          <w:sz w:val="28"/>
          <w:szCs w:val="28"/>
        </w:rPr>
        <w:t xml:space="preserve"> Кодекс</w:t>
      </w:r>
      <w:r>
        <w:rPr>
          <w:sz w:val="28"/>
          <w:szCs w:val="28"/>
        </w:rPr>
        <w:t>ом</w:t>
      </w:r>
      <w:r w:rsidRPr="00557471">
        <w:rPr>
          <w:sz w:val="28"/>
          <w:szCs w:val="28"/>
        </w:rPr>
        <w:t>, а также законодательством государств-членов</w:t>
      </w:r>
      <w:r>
        <w:rPr>
          <w:sz w:val="28"/>
          <w:szCs w:val="28"/>
        </w:rPr>
        <w:t xml:space="preserve"> Союза;</w:t>
      </w:r>
    </w:p>
    <w:p w14:paraId="31BDFBF1" w14:textId="6E7047FE"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14:paraId="6077099E" w14:textId="6486E092"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обеспечивать сохранность товаров, находящихся на складе временного хранения;</w:t>
      </w:r>
    </w:p>
    <w:p w14:paraId="51B8CDA9" w14:textId="25622046"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обеспечивать возможность проведения таможенного контроля;</w:t>
      </w:r>
    </w:p>
    <w:p w14:paraId="39B6AF60" w14:textId="407CF219"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вести учет товаров, находящихся на складе временного хранения, и представлять таможенным органам отчетность о таких товарах, в том числе с использованием информационных технологий, в соответствии с законодательством государств-членов;</w:t>
      </w:r>
    </w:p>
    <w:p w14:paraId="3072CDB1" w14:textId="14608CAA"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w:t>
      </w:r>
    </w:p>
    <w:p w14:paraId="3F49D4A5" w14:textId="57011898"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14:paraId="697ACCB3" w14:textId="4B924EB5"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исполнять обязанность по уплате таможенных пошлин, налогов, специальных, антидемпинговых, компенсационных пошлин, не позднее последнего дня срока, указанного в уведомлении, направленном таможенным органом;</w:t>
      </w:r>
    </w:p>
    <w:p w14:paraId="270BCD24" w14:textId="46E25211" w:rsidR="00557471" w:rsidRPr="00557471" w:rsidRDefault="00557471" w:rsidP="00557471">
      <w:pPr>
        <w:autoSpaceDE w:val="0"/>
        <w:autoSpaceDN w:val="0"/>
        <w:adjustRightInd w:val="0"/>
        <w:spacing w:line="20" w:lineRule="atLeast"/>
        <w:ind w:firstLine="709"/>
        <w:jc w:val="both"/>
        <w:rPr>
          <w:sz w:val="28"/>
          <w:szCs w:val="28"/>
        </w:rPr>
      </w:pPr>
      <w:r>
        <w:rPr>
          <w:sz w:val="28"/>
          <w:szCs w:val="28"/>
        </w:rPr>
        <w:t xml:space="preserve">- </w:t>
      </w:r>
      <w:r w:rsidRPr="00557471">
        <w:rPr>
          <w:sz w:val="28"/>
          <w:szCs w:val="28"/>
        </w:rPr>
        <w:t>информировать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14:paraId="5F579613" w14:textId="1177750B" w:rsidR="00557471" w:rsidRDefault="00557471" w:rsidP="00AB7153">
      <w:pPr>
        <w:autoSpaceDE w:val="0"/>
        <w:autoSpaceDN w:val="0"/>
        <w:adjustRightInd w:val="0"/>
        <w:spacing w:line="20" w:lineRule="atLeast"/>
        <w:ind w:firstLine="709"/>
        <w:jc w:val="both"/>
        <w:rPr>
          <w:sz w:val="28"/>
          <w:szCs w:val="28"/>
        </w:rPr>
      </w:pPr>
      <w:r w:rsidRPr="00557471">
        <w:rPr>
          <w:sz w:val="28"/>
          <w:szCs w:val="28"/>
        </w:rPr>
        <w:t>Ведение реестра владельцев СВХ ос</w:t>
      </w:r>
      <w:r w:rsidR="001B17E7">
        <w:rPr>
          <w:sz w:val="28"/>
          <w:szCs w:val="28"/>
        </w:rPr>
        <w:t>уществляет ФТС России.</w:t>
      </w:r>
      <w:r w:rsidRPr="00557471">
        <w:rPr>
          <w:sz w:val="28"/>
          <w:szCs w:val="28"/>
        </w:rPr>
        <w:t xml:space="preserve"> Реестр владельцев СВХ формируется на основании принимаемых таможенными органами решений о включении юридических лиц в соответствующий реестр, об исключении юридических лиц из данного реестра, о внесении изменений в реестр, о приостановлении и возобновлении деятельности юридических лиц в качестве владельца СВХ</w:t>
      </w:r>
      <w:r w:rsidR="00913ECF">
        <w:rPr>
          <w:sz w:val="28"/>
          <w:szCs w:val="28"/>
        </w:rPr>
        <w:t>.</w:t>
      </w:r>
    </w:p>
    <w:p w14:paraId="3C1E52BD" w14:textId="7768CFF1" w:rsidR="00AB7153" w:rsidRPr="005535FC" w:rsidRDefault="00AB7153" w:rsidP="00AB7153">
      <w:pPr>
        <w:autoSpaceDE w:val="0"/>
        <w:autoSpaceDN w:val="0"/>
        <w:adjustRightInd w:val="0"/>
        <w:spacing w:line="20" w:lineRule="atLeast"/>
        <w:ind w:firstLine="709"/>
        <w:jc w:val="both"/>
        <w:rPr>
          <w:sz w:val="28"/>
          <w:szCs w:val="28"/>
        </w:rPr>
      </w:pPr>
      <w:r w:rsidRPr="00AB7153">
        <w:rPr>
          <w:sz w:val="28"/>
          <w:szCs w:val="28"/>
        </w:rPr>
        <w:t xml:space="preserve">Склады временного хранения могут быть открытого или закрытого типа. Склады временного хранения являются складами открытого типа, если они доступны для использования любыми лицами. Склады временного хранения являются складами закрытого типа, если они предназначены для хранения товаров владельца данного склада или для хранения определенных категорий товаров. Владелец склада временного хранения вправе ограничить сферу своей </w:t>
      </w:r>
      <w:r w:rsidRPr="005535FC">
        <w:rPr>
          <w:sz w:val="28"/>
          <w:szCs w:val="28"/>
        </w:rPr>
        <w:t>деятельности путем определения типа склада временного хранения.</w:t>
      </w:r>
    </w:p>
    <w:p w14:paraId="324443C0" w14:textId="77777777" w:rsidR="00913ECF" w:rsidRPr="00496058" w:rsidRDefault="00913ECF" w:rsidP="00913ECF">
      <w:pPr>
        <w:autoSpaceDE w:val="0"/>
        <w:autoSpaceDN w:val="0"/>
        <w:adjustRightInd w:val="0"/>
        <w:spacing w:line="20" w:lineRule="atLeast"/>
        <w:ind w:firstLine="709"/>
        <w:jc w:val="both"/>
        <w:rPr>
          <w:color w:val="000000" w:themeColor="text1"/>
          <w:sz w:val="28"/>
          <w:szCs w:val="28"/>
        </w:rPr>
      </w:pPr>
      <w:r w:rsidRPr="005535FC">
        <w:rPr>
          <w:sz w:val="28"/>
          <w:szCs w:val="28"/>
        </w:rPr>
        <w:t xml:space="preserve">В связи с тем, что владельцы </w:t>
      </w:r>
      <w:r w:rsidRPr="005535FC">
        <w:rPr>
          <w:color w:val="000000" w:themeColor="text1"/>
          <w:sz w:val="28"/>
          <w:szCs w:val="28"/>
        </w:rPr>
        <w:t>СВХ</w:t>
      </w:r>
      <w:r w:rsidRPr="005535FC">
        <w:rPr>
          <w:sz w:val="28"/>
          <w:szCs w:val="28"/>
        </w:rPr>
        <w:t xml:space="preserve"> закрытого типа осуществляют хранение собственных товаров и не оказывают услуг третьим лицам, деятельность </w:t>
      </w:r>
      <w:r w:rsidRPr="005535FC">
        <w:rPr>
          <w:color w:val="000000" w:themeColor="text1"/>
          <w:sz w:val="28"/>
          <w:szCs w:val="28"/>
        </w:rPr>
        <w:t>СВХ</w:t>
      </w:r>
      <w:r w:rsidRPr="005535FC">
        <w:rPr>
          <w:sz w:val="28"/>
          <w:szCs w:val="28"/>
        </w:rPr>
        <w:t xml:space="preserve"> закрытого типа выходит за рамки продуктовых границ </w:t>
      </w:r>
      <w:r w:rsidRPr="005535FC">
        <w:rPr>
          <w:color w:val="000000" w:themeColor="text1"/>
          <w:sz w:val="28"/>
          <w:szCs w:val="28"/>
        </w:rPr>
        <w:t>рассматриваемого рынка.</w:t>
      </w:r>
    </w:p>
    <w:p w14:paraId="46EBFBAA" w14:textId="34697995" w:rsidR="00AB7153" w:rsidRPr="00D3009F" w:rsidRDefault="00AB7153" w:rsidP="00AB7153">
      <w:pPr>
        <w:autoSpaceDE w:val="0"/>
        <w:autoSpaceDN w:val="0"/>
        <w:adjustRightInd w:val="0"/>
        <w:spacing w:line="20" w:lineRule="atLeast"/>
        <w:ind w:firstLine="709"/>
        <w:jc w:val="both"/>
        <w:rPr>
          <w:sz w:val="28"/>
          <w:szCs w:val="28"/>
        </w:rPr>
      </w:pPr>
      <w:r w:rsidRPr="00AB7153">
        <w:rPr>
          <w:sz w:val="28"/>
          <w:szCs w:val="28"/>
        </w:rPr>
        <w:t>Отношения владельца склада временного хранения с лицами, помещающими товары на хранение, осуществляются на основе договора. Отказ владельца склада временного хранения от заключения договора при наличии у него возможности осуществить хранение товаров не допускается, за исключением случая, когда исполнение такого договора будет выходить за сферу деятельности, ограниченную владельцем склада временного хранения, либо когда имеются достаточные основания полагать, что действия (бездействие) лица, помещающего товары на хранение, являются противоправными и влекущими уголовную либо административную ответственность в области таможенного дела. Владелец склада временного хранения не вправе оказывать предпочтение одному лицу перед другим лицом в отношении заключения договора, за исключением предоставления льгот в отношении цены и иных условий договора для отдельных категорий представляемых лиц.</w:t>
      </w:r>
    </w:p>
    <w:p w14:paraId="1017D544" w14:textId="77777777" w:rsidR="001B17E7" w:rsidRDefault="001B17E7" w:rsidP="0031056E">
      <w:pPr>
        <w:autoSpaceDE w:val="0"/>
        <w:autoSpaceDN w:val="0"/>
        <w:adjustRightInd w:val="0"/>
        <w:spacing w:line="20" w:lineRule="atLeast"/>
        <w:ind w:firstLine="709"/>
        <w:jc w:val="both"/>
        <w:rPr>
          <w:sz w:val="28"/>
          <w:szCs w:val="28"/>
        </w:rPr>
      </w:pPr>
      <w:r w:rsidRPr="001B17E7">
        <w:rPr>
          <w:sz w:val="28"/>
          <w:szCs w:val="28"/>
        </w:rPr>
        <w:t>Статьей 71 Закона о таможенном регулировании определены требования к обустройству и оборудованию СВХ. Данными требованиями являются:</w:t>
      </w:r>
    </w:p>
    <w:p w14:paraId="6BC2DF34"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 наличие подъездных путей (в зависимости от вида транспорта);</w:t>
      </w:r>
    </w:p>
    <w:p w14:paraId="2DF9C58D"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2) расположение помещений, предназначенных для склада временного хранения открытого типа, только в наземных зданиях или сооружениях, относящихся к недвижимости;</w:t>
      </w:r>
    </w:p>
    <w:p w14:paraId="621C8F35"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3) наличие обустроенного места для проведения таможенного досмотра товаров и транспортных средств, позволяющего осуществлять таможенный досмотр в любое время года без нанесения ущерба досматриваемым товарам;</w:t>
      </w:r>
    </w:p>
    <w:p w14:paraId="7CAECE0D" w14:textId="5CF738CD"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4) ограждение прилегающей территории. Если технологические особенности функционирования склада временного хранения делают невозможным либо нецелесообразным ограждение прилегающей территории, то по решению таможни указанная территория может быть обозначена в порядке, установленном для обозначения зон таможенного контроля;</w:t>
      </w:r>
    </w:p>
    <w:p w14:paraId="5923B4D8"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5) ограждение либо обозначение на местности открытой площадки, если она используется в качестве склада временного хранения (учитывая специфику склада в зависимости от вида транспорта при перемещении товаров и транспортных средств от таможенной границы Российской Федерации до склада временного хранения);</w:t>
      </w:r>
    </w:p>
    <w:p w14:paraId="49DDA081"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6) территория склада временного хранения не должна включать объекты, не связанные с функционированием склада временного хранения и обеспечением его работы;</w:t>
      </w:r>
    </w:p>
    <w:p w14:paraId="56634D21"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7) наличие на складе временного хранения обустроенного и специально приспособленного помещения, предназначенного для хранения товаров, которые могут причинить вред другим товарам или требуют особых условий хранения (если на указанном складе предполагается хранение таких товаров);</w:t>
      </w:r>
    </w:p>
    <w:p w14:paraId="3A92C3C7"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8) наличие контрольно-пропускных пунктов и соответствующих средств обеспечения контроля за перемещением товаров и транспортных средств через границы территории склада временного хранения;</w:t>
      </w:r>
    </w:p>
    <w:p w14:paraId="2B6D8C80"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9) обеспечение техническими средствами таможенного контроля делящихся и радиоактивных материалов, необходимость, количество и тип которых таможенный орган устанавливает по согласованию с вышестоящим таможенным органом при соблюдении технических регламентов и национальных стандартов, действующих в Российской Федерации. Тип технических средств для проведения радиационного контроля, критерии принятия решений об их необходимости и о количестве определяет федеральный орган исполнительной власти, уполномоченный в области таможенного дела;</w:t>
      </w:r>
    </w:p>
    <w:p w14:paraId="24B3D0DC"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10) наличие досмотровой рентгеновской техники, необходимость и количество которой таможенный орган устанавливает по согласованию с вышестоящим таможенным органом. Тип досмотровой рентгеновской техники, критерии принятия решений о ее необходимости и количестве определяет федеральный орган исполнительной власти, уполномоченный в области таможенного дела;</w:t>
      </w:r>
    </w:p>
    <w:p w14:paraId="216050E7"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11) наличие весового оборудования с различными пределами взвешивания, обеспечивающего возможность взвешивания товаров, предполагаемых для размещения на складе временного хранения, в частности на паллетах, поддонах и других приспособлениях, обычно применяемых для транспортировки товаров, которые планируется хранить на складе временного хранения;</w:t>
      </w:r>
    </w:p>
    <w:p w14:paraId="070C849D"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12) наличие автоматизированной системы учета товаров, совместимой с программными продуктами, разрешенными для использования таможенным органом;</w:t>
      </w:r>
    </w:p>
    <w:p w14:paraId="06483495"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13) наличие телефонной и факсимильной связи, оргтехники и множительной техники;</w:t>
      </w:r>
    </w:p>
    <w:p w14:paraId="1B15FECA"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14) обеспечение возможности передачи таможенному органу в электронном виде сведений, содержащихся в отчетности о товарах, находящихся на складе временного хранения, и получения в электронном виде от таможенного органа сведений о выпуске товаров, находящихся на складе временного хранения;</w:t>
      </w:r>
    </w:p>
    <w:p w14:paraId="35DC49E0"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15) наличие погрузо-разгрузочной техники (автопогрузчики, электропогрузчики и электрокары, механические тележки, краны, подъемники и иная погрузо-разгрузочная техника);</w:t>
      </w:r>
    </w:p>
    <w:p w14:paraId="5F0ADC95"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16) наличие электронной системы размещения и учета товаров (для складов временного хранения, оборудованных автоматизированной ячеечной системой хранения товаров), совместимой с программными продуктами, используемыми таможенными органами, и позволяющей таможенному органу контролировать размещение и нахождение товаров в ячейках, а также проведение осмотров, измерений, пересчетов, взвешивания товаров работниками склада и лицами, обладающими полномочиями в отношении данных товаров с определением даты и времени проведения указанных операций;</w:t>
      </w:r>
    </w:p>
    <w:p w14:paraId="3EBD2189"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17) склад временного хранения открытого типа должен располагаться в достаточной близости от транспортных узлов и транспортных магистралей;</w:t>
      </w:r>
    </w:p>
    <w:p w14:paraId="78BC63B3" w14:textId="77777777" w:rsidR="001B17E7" w:rsidRPr="001B17E7" w:rsidRDefault="001B17E7" w:rsidP="001B17E7">
      <w:pPr>
        <w:autoSpaceDE w:val="0"/>
        <w:autoSpaceDN w:val="0"/>
        <w:adjustRightInd w:val="0"/>
        <w:spacing w:line="20" w:lineRule="atLeast"/>
        <w:ind w:firstLine="709"/>
        <w:jc w:val="both"/>
        <w:rPr>
          <w:sz w:val="28"/>
          <w:szCs w:val="28"/>
        </w:rPr>
      </w:pPr>
      <w:r w:rsidRPr="001B17E7">
        <w:rPr>
          <w:sz w:val="28"/>
          <w:szCs w:val="28"/>
        </w:rPr>
        <w:t>18) склад временного хранения должен располагаться в пределах неразрывной по периметру территории;</w:t>
      </w:r>
    </w:p>
    <w:p w14:paraId="20AC2213" w14:textId="77777777" w:rsidR="001B17E7" w:rsidRDefault="001B17E7" w:rsidP="001B17E7">
      <w:pPr>
        <w:autoSpaceDE w:val="0"/>
        <w:autoSpaceDN w:val="0"/>
        <w:adjustRightInd w:val="0"/>
        <w:spacing w:line="20" w:lineRule="atLeast"/>
        <w:ind w:firstLine="709"/>
        <w:jc w:val="both"/>
        <w:rPr>
          <w:sz w:val="28"/>
          <w:szCs w:val="28"/>
        </w:rPr>
      </w:pPr>
      <w:r w:rsidRPr="001B17E7">
        <w:rPr>
          <w:sz w:val="28"/>
          <w:szCs w:val="28"/>
        </w:rPr>
        <w:t>19) склад временного хранения не может располагаться на передвижных транспортных средствах или передвижном транспортном оборудовании любых видов.)</w:t>
      </w:r>
    </w:p>
    <w:p w14:paraId="101F5DF8" w14:textId="06A40241" w:rsidR="00E327CE" w:rsidRPr="00054D5C" w:rsidRDefault="00E327CE" w:rsidP="001B17E7">
      <w:pPr>
        <w:autoSpaceDE w:val="0"/>
        <w:autoSpaceDN w:val="0"/>
        <w:adjustRightInd w:val="0"/>
        <w:spacing w:line="20" w:lineRule="atLeast"/>
        <w:ind w:firstLine="709"/>
        <w:jc w:val="both"/>
        <w:rPr>
          <w:bCs/>
          <w:sz w:val="34"/>
          <w:szCs w:val="34"/>
        </w:rPr>
      </w:pPr>
      <w:r>
        <w:rPr>
          <w:sz w:val="28"/>
          <w:szCs w:val="28"/>
        </w:rPr>
        <w:t>В</w:t>
      </w:r>
      <w:r w:rsidR="003D1A0D">
        <w:rPr>
          <w:sz w:val="28"/>
          <w:szCs w:val="28"/>
        </w:rPr>
        <w:t xml:space="preserve"> соответствии со статьей 348 Кодекса Союз</w:t>
      </w:r>
      <w:r w:rsidR="003D1A0D" w:rsidRPr="003D1A0D">
        <w:rPr>
          <w:color w:val="000000" w:themeColor="text1"/>
          <w:sz w:val="28"/>
          <w:szCs w:val="28"/>
        </w:rPr>
        <w:t>а</w:t>
      </w:r>
      <w:r w:rsidRPr="003D1A0D">
        <w:rPr>
          <w:bCs/>
          <w:color w:val="000000" w:themeColor="text1"/>
          <w:sz w:val="34"/>
          <w:szCs w:val="34"/>
        </w:rPr>
        <w:t xml:space="preserve"> </w:t>
      </w:r>
      <w:r w:rsidR="003D1A0D" w:rsidRPr="003D1A0D">
        <w:rPr>
          <w:bCs/>
          <w:color w:val="000000" w:themeColor="text1"/>
          <w:sz w:val="28"/>
          <w:szCs w:val="28"/>
        </w:rPr>
        <w:t>пр</w:t>
      </w:r>
      <w:r w:rsidR="003D1A0D" w:rsidRPr="003D1A0D">
        <w:rPr>
          <w:color w:val="000000" w:themeColor="text1"/>
          <w:sz w:val="28"/>
          <w:szCs w:val="28"/>
        </w:rPr>
        <w:t>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иных мест, в которых находятся (могут находиться) такие товары.</w:t>
      </w:r>
      <w:r w:rsidRPr="003D1A0D">
        <w:rPr>
          <w:color w:val="000000" w:themeColor="text1"/>
          <w:sz w:val="28"/>
          <w:szCs w:val="28"/>
        </w:rPr>
        <w:t xml:space="preserve"> Грузовые и иные операции в отношении товаров и транспортных средств не должны повлечь для таможенного органа каких-либо расходов.</w:t>
      </w:r>
    </w:p>
    <w:p w14:paraId="1E64A1C7" w14:textId="1802AF0D" w:rsidR="00E327CE" w:rsidRDefault="00E327CE" w:rsidP="000577D0">
      <w:pPr>
        <w:autoSpaceDE w:val="0"/>
        <w:autoSpaceDN w:val="0"/>
        <w:adjustRightInd w:val="0"/>
        <w:ind w:firstLine="709"/>
        <w:jc w:val="both"/>
        <w:rPr>
          <w:sz w:val="28"/>
          <w:szCs w:val="28"/>
        </w:rPr>
      </w:pPr>
      <w:r>
        <w:rPr>
          <w:sz w:val="28"/>
          <w:szCs w:val="28"/>
        </w:rPr>
        <w:t>Таким образом, услуги взвешивания или иного определени</w:t>
      </w:r>
      <w:r w:rsidR="00135F8B">
        <w:rPr>
          <w:sz w:val="28"/>
          <w:szCs w:val="28"/>
        </w:rPr>
        <w:t>я</w:t>
      </w:r>
      <w:r>
        <w:rPr>
          <w:sz w:val="28"/>
          <w:szCs w:val="28"/>
        </w:rPr>
        <w:t xml:space="preserve"> количества товаров, погрузки, разгрузки, перегрузки</w:t>
      </w:r>
      <w:r w:rsidRPr="009A442E">
        <w:rPr>
          <w:color w:val="000000" w:themeColor="text1"/>
          <w:sz w:val="28"/>
          <w:szCs w:val="28"/>
        </w:rPr>
        <w:t>;</w:t>
      </w:r>
      <w:r>
        <w:rPr>
          <w:sz w:val="28"/>
          <w:szCs w:val="28"/>
        </w:rPr>
        <w:t xml:space="preserve"> исправление поврежденной упаковки, вскрытие упаковки, упаковка либо переупаковка товаров, подлежащих таможенному контролю, а также вскрытие помещений, емкостей и других </w:t>
      </w:r>
      <w:r w:rsidRPr="003544DE">
        <w:rPr>
          <w:color w:val="000000" w:themeColor="text1"/>
          <w:sz w:val="28"/>
          <w:szCs w:val="28"/>
        </w:rPr>
        <w:t>мест;</w:t>
      </w:r>
      <w:r w:rsidRPr="003544DE">
        <w:rPr>
          <w:sz w:val="28"/>
          <w:szCs w:val="28"/>
        </w:rPr>
        <w:t xml:space="preserve"> </w:t>
      </w:r>
      <w:r>
        <w:rPr>
          <w:sz w:val="28"/>
          <w:szCs w:val="28"/>
        </w:rPr>
        <w:t xml:space="preserve">услуги по осуществлению контроля </w:t>
      </w:r>
      <w:r w:rsidRPr="00CC38C7">
        <w:rPr>
          <w:sz w:val="28"/>
          <w:szCs w:val="28"/>
        </w:rPr>
        <w:t>делящихся и радиоактивных материалов</w:t>
      </w:r>
      <w:r>
        <w:rPr>
          <w:sz w:val="28"/>
          <w:szCs w:val="28"/>
        </w:rPr>
        <w:t>, рентгеновского</w:t>
      </w:r>
      <w:r w:rsidRPr="00D20315">
        <w:rPr>
          <w:sz w:val="28"/>
          <w:szCs w:val="28"/>
        </w:rPr>
        <w:t xml:space="preserve"> </w:t>
      </w:r>
      <w:r>
        <w:rPr>
          <w:sz w:val="28"/>
          <w:szCs w:val="28"/>
        </w:rPr>
        <w:t xml:space="preserve">контроля </w:t>
      </w:r>
      <w:r w:rsidRPr="00D75FF4">
        <w:rPr>
          <w:sz w:val="28"/>
          <w:szCs w:val="28"/>
          <w:u w:val="single"/>
        </w:rPr>
        <w:t xml:space="preserve">могут предоставляться только </w:t>
      </w:r>
      <w:r w:rsidRPr="00A92232">
        <w:rPr>
          <w:sz w:val="28"/>
          <w:szCs w:val="28"/>
          <w:u w:val="single"/>
        </w:rPr>
        <w:t xml:space="preserve">владельцами </w:t>
      </w:r>
      <w:r w:rsidRPr="00A92232">
        <w:rPr>
          <w:color w:val="000000" w:themeColor="text1"/>
          <w:sz w:val="28"/>
          <w:szCs w:val="28"/>
          <w:u w:val="single"/>
        </w:rPr>
        <w:t xml:space="preserve">СВХ </w:t>
      </w:r>
      <w:r w:rsidRPr="00A92232">
        <w:rPr>
          <w:sz w:val="28"/>
          <w:szCs w:val="28"/>
          <w:u w:val="single"/>
        </w:rPr>
        <w:t>товаров</w:t>
      </w:r>
      <w:r w:rsidRPr="00D75FF4">
        <w:rPr>
          <w:sz w:val="28"/>
          <w:szCs w:val="28"/>
          <w:u w:val="single"/>
        </w:rPr>
        <w:t xml:space="preserve"> открытого типа</w:t>
      </w:r>
      <w:r>
        <w:rPr>
          <w:sz w:val="28"/>
          <w:szCs w:val="28"/>
        </w:rPr>
        <w:t xml:space="preserve"> и согласно статье </w:t>
      </w:r>
      <w:r w:rsidRPr="000D767C">
        <w:rPr>
          <w:color w:val="000000" w:themeColor="text1"/>
          <w:sz w:val="28"/>
          <w:szCs w:val="28"/>
        </w:rPr>
        <w:t>907</w:t>
      </w:r>
      <w:r>
        <w:rPr>
          <w:sz w:val="28"/>
          <w:szCs w:val="28"/>
        </w:rPr>
        <w:t xml:space="preserve"> ГК РФ будут рассматриваться как комплекс услуг временного хранения товаров, оказываемых владельцами </w:t>
      </w:r>
      <w:r w:rsidRPr="00681AC6">
        <w:rPr>
          <w:color w:val="000000" w:themeColor="text1"/>
          <w:sz w:val="28"/>
          <w:szCs w:val="28"/>
        </w:rPr>
        <w:t xml:space="preserve">СВХ </w:t>
      </w:r>
      <w:r>
        <w:rPr>
          <w:sz w:val="28"/>
          <w:szCs w:val="28"/>
        </w:rPr>
        <w:t>открытого типа.</w:t>
      </w:r>
    </w:p>
    <w:p w14:paraId="159F08FE" w14:textId="53FC703C" w:rsidR="00E327CE" w:rsidRDefault="00E327CE" w:rsidP="000577D0">
      <w:pPr>
        <w:pStyle w:val="af0"/>
        <w:spacing w:before="0" w:beforeAutospacing="0" w:after="0"/>
        <w:ind w:firstLine="709"/>
        <w:jc w:val="both"/>
        <w:rPr>
          <w:sz w:val="28"/>
          <w:szCs w:val="28"/>
        </w:rPr>
      </w:pPr>
      <w:r>
        <w:rPr>
          <w:sz w:val="28"/>
          <w:szCs w:val="28"/>
        </w:rPr>
        <w:t>Указанным видам деятельности по</w:t>
      </w:r>
      <w:r w:rsidRPr="000F346C">
        <w:rPr>
          <w:sz w:val="28"/>
          <w:szCs w:val="28"/>
        </w:rPr>
        <w:t xml:space="preserve"> ОКВЭД</w:t>
      </w:r>
      <w:r w:rsidR="004969F6">
        <w:rPr>
          <w:sz w:val="28"/>
          <w:szCs w:val="28"/>
        </w:rPr>
        <w:t xml:space="preserve"> соответству</w:t>
      </w:r>
      <w:r w:rsidR="00731BA3" w:rsidRPr="00BC01F9">
        <w:rPr>
          <w:b/>
          <w:sz w:val="28"/>
          <w:szCs w:val="28"/>
        </w:rPr>
        <w:t>е</w:t>
      </w:r>
      <w:r w:rsidR="004969F6" w:rsidRPr="00BC01F9">
        <w:rPr>
          <w:sz w:val="28"/>
          <w:szCs w:val="28"/>
        </w:rPr>
        <w:t>т</w:t>
      </w:r>
      <w:r w:rsidR="004969F6">
        <w:rPr>
          <w:sz w:val="28"/>
          <w:szCs w:val="28"/>
        </w:rPr>
        <w:t xml:space="preserve"> код </w:t>
      </w:r>
      <w:r w:rsidRPr="00D04971">
        <w:rPr>
          <w:sz w:val="28"/>
          <w:szCs w:val="28"/>
        </w:rPr>
        <w:t>деятельности по хранению и складированию всех видов грузов:</w:t>
      </w:r>
    </w:p>
    <w:p w14:paraId="184BDB0F" w14:textId="5E3271FD" w:rsidR="000577D0" w:rsidRPr="000577D0" w:rsidRDefault="000577D0" w:rsidP="000577D0">
      <w:pPr>
        <w:pStyle w:val="af0"/>
        <w:spacing w:before="0" w:beforeAutospacing="0" w:after="0"/>
        <w:ind w:firstLine="709"/>
        <w:jc w:val="both"/>
        <w:rPr>
          <w:sz w:val="28"/>
          <w:szCs w:val="28"/>
        </w:rPr>
      </w:pPr>
      <w:r w:rsidRPr="000577D0">
        <w:rPr>
          <w:sz w:val="28"/>
          <w:szCs w:val="28"/>
        </w:rPr>
        <w:t>52</w:t>
      </w:r>
      <w:r>
        <w:rPr>
          <w:sz w:val="28"/>
          <w:szCs w:val="28"/>
        </w:rPr>
        <w:t xml:space="preserve"> - </w:t>
      </w:r>
      <w:r w:rsidRPr="000577D0">
        <w:rPr>
          <w:sz w:val="28"/>
          <w:szCs w:val="28"/>
        </w:rPr>
        <w:t>Складское хозяйство и вспомогательная транспортная деятельность</w:t>
      </w:r>
    </w:p>
    <w:p w14:paraId="311F8646" w14:textId="77777777" w:rsidR="000577D0" w:rsidRPr="000577D0" w:rsidRDefault="000577D0" w:rsidP="000577D0">
      <w:pPr>
        <w:pStyle w:val="af0"/>
        <w:spacing w:before="0" w:beforeAutospacing="0" w:after="0"/>
        <w:ind w:firstLine="709"/>
        <w:jc w:val="both"/>
        <w:rPr>
          <w:sz w:val="28"/>
          <w:szCs w:val="28"/>
        </w:rPr>
      </w:pPr>
      <w:r w:rsidRPr="000577D0">
        <w:rPr>
          <w:sz w:val="28"/>
          <w:szCs w:val="28"/>
        </w:rPr>
        <w:t>Эта группировка включает:</w:t>
      </w:r>
    </w:p>
    <w:p w14:paraId="216EEB45" w14:textId="77777777" w:rsidR="000577D0" w:rsidRPr="000577D0" w:rsidRDefault="000577D0" w:rsidP="000577D0">
      <w:pPr>
        <w:pStyle w:val="af0"/>
        <w:spacing w:before="0" w:beforeAutospacing="0" w:after="0"/>
        <w:ind w:firstLine="709"/>
        <w:jc w:val="both"/>
        <w:rPr>
          <w:sz w:val="28"/>
          <w:szCs w:val="28"/>
        </w:rPr>
      </w:pPr>
      <w:r w:rsidRPr="000577D0">
        <w:rPr>
          <w:sz w:val="28"/>
          <w:szCs w:val="28"/>
        </w:rPr>
        <w:t>- складирование (хранение) и вспомогательную деятельность при перевозке, такую как деятельность транспортной инфраструктуры (аэропортов, портов, туннелей, мостов и т.д.);</w:t>
      </w:r>
    </w:p>
    <w:p w14:paraId="3744869D" w14:textId="77777777" w:rsidR="000577D0" w:rsidRPr="000577D0" w:rsidRDefault="000577D0" w:rsidP="000577D0">
      <w:pPr>
        <w:pStyle w:val="af0"/>
        <w:spacing w:before="0" w:beforeAutospacing="0" w:after="0"/>
        <w:ind w:firstLine="709"/>
        <w:jc w:val="both"/>
        <w:rPr>
          <w:sz w:val="28"/>
          <w:szCs w:val="28"/>
        </w:rPr>
      </w:pPr>
      <w:r w:rsidRPr="000577D0">
        <w:rPr>
          <w:sz w:val="28"/>
          <w:szCs w:val="28"/>
        </w:rPr>
        <w:t>- деятельность транспортных агентств;</w:t>
      </w:r>
    </w:p>
    <w:p w14:paraId="71708E4B" w14:textId="5BE481E0" w:rsidR="000577D0" w:rsidRDefault="000577D0" w:rsidP="000577D0">
      <w:pPr>
        <w:pStyle w:val="af0"/>
        <w:spacing w:before="0" w:beforeAutospacing="0" w:after="0"/>
        <w:ind w:firstLine="709"/>
        <w:jc w:val="both"/>
        <w:rPr>
          <w:sz w:val="28"/>
          <w:szCs w:val="28"/>
        </w:rPr>
      </w:pPr>
      <w:r w:rsidRPr="000577D0">
        <w:rPr>
          <w:sz w:val="28"/>
          <w:szCs w:val="28"/>
        </w:rPr>
        <w:t>- погрузочно-разгрузочные работы</w:t>
      </w:r>
      <w:r w:rsidR="004969F6">
        <w:rPr>
          <w:sz w:val="28"/>
          <w:szCs w:val="28"/>
        </w:rPr>
        <w:t>.</w:t>
      </w:r>
    </w:p>
    <w:p w14:paraId="1A88A829" w14:textId="3A02371A" w:rsidR="00E327CE" w:rsidRPr="001E1151" w:rsidRDefault="00E327CE" w:rsidP="00A92D87">
      <w:pPr>
        <w:autoSpaceDE w:val="0"/>
        <w:autoSpaceDN w:val="0"/>
        <w:adjustRightInd w:val="0"/>
        <w:spacing w:line="20" w:lineRule="atLeast"/>
        <w:ind w:firstLine="709"/>
        <w:jc w:val="both"/>
        <w:rPr>
          <w:sz w:val="28"/>
          <w:szCs w:val="28"/>
        </w:rPr>
      </w:pPr>
      <w:r>
        <w:rPr>
          <w:sz w:val="28"/>
          <w:szCs w:val="28"/>
        </w:rPr>
        <w:t>В соответствии с</w:t>
      </w:r>
      <w:r w:rsidR="000577D0">
        <w:rPr>
          <w:sz w:val="28"/>
          <w:szCs w:val="28"/>
        </w:rPr>
        <w:t xml:space="preserve"> </w:t>
      </w:r>
      <w:r>
        <w:rPr>
          <w:sz w:val="28"/>
          <w:szCs w:val="28"/>
        </w:rPr>
        <w:t xml:space="preserve">пунктами 2, 3 «Порядка представления документов и сведений в таможенный орган при помещении товаров на склад временного хранения (иные места временного хранения товаров), помещения (выдачи) товаров на склад временного хранения (со склада) и иные места временного хранения, представления отчетности о товарах, находящихся на временном хранении, а также порядка и условий выдачи </w:t>
      </w:r>
      <w:r w:rsidRPr="00AF2EFC">
        <w:rPr>
          <w:color w:val="000000" w:themeColor="text1"/>
          <w:sz w:val="28"/>
          <w:szCs w:val="28"/>
        </w:rPr>
        <w:t>разрешения таможенного органа на временное хранение товаров в иных местах»,  утвержденного прик</w:t>
      </w:r>
      <w:r w:rsidR="000577D0">
        <w:rPr>
          <w:color w:val="000000" w:themeColor="text1"/>
          <w:sz w:val="28"/>
          <w:szCs w:val="28"/>
        </w:rPr>
        <w:t>азом ФТС России от 29.12.2012 № </w:t>
      </w:r>
      <w:r w:rsidRPr="00AF2EFC">
        <w:rPr>
          <w:color w:val="000000" w:themeColor="text1"/>
          <w:sz w:val="28"/>
          <w:szCs w:val="28"/>
        </w:rPr>
        <w:t>2688</w:t>
      </w:r>
      <w:r w:rsidR="000577D0">
        <w:rPr>
          <w:color w:val="000000" w:themeColor="text1"/>
          <w:sz w:val="28"/>
          <w:szCs w:val="28"/>
        </w:rPr>
        <w:t xml:space="preserve">, </w:t>
      </w:r>
      <w:r w:rsidRPr="00AF2EFC">
        <w:rPr>
          <w:color w:val="000000" w:themeColor="text1"/>
          <w:sz w:val="28"/>
          <w:szCs w:val="28"/>
        </w:rPr>
        <w:t>перевозчик</w:t>
      </w:r>
      <w:r w:rsidRPr="001E1151">
        <w:rPr>
          <w:sz w:val="28"/>
          <w:szCs w:val="28"/>
        </w:rPr>
        <w:t xml:space="preserve"> или иное заинтересованное лицо</w:t>
      </w:r>
      <w:r w:rsidRPr="001E1151">
        <w:rPr>
          <w:rStyle w:val="aa"/>
          <w:sz w:val="28"/>
          <w:szCs w:val="28"/>
        </w:rPr>
        <w:footnoteReference w:id="1"/>
      </w:r>
      <w:r w:rsidRPr="001E1151">
        <w:rPr>
          <w:sz w:val="28"/>
          <w:szCs w:val="28"/>
        </w:rPr>
        <w:t xml:space="preserve"> обязаны совершить таможенные операции</w:t>
      </w:r>
      <w:r w:rsidRPr="001E1151">
        <w:rPr>
          <w:rStyle w:val="aa"/>
          <w:sz w:val="28"/>
          <w:szCs w:val="28"/>
        </w:rPr>
        <w:footnoteReference w:id="2"/>
      </w:r>
      <w:r w:rsidRPr="001E1151">
        <w:rPr>
          <w:sz w:val="28"/>
          <w:szCs w:val="28"/>
        </w:rPr>
        <w:t>, связанные с помещением товаров на временное хранение, или их таможенным декларированием</w:t>
      </w:r>
      <w:r w:rsidRPr="001E1151">
        <w:rPr>
          <w:rStyle w:val="aa"/>
          <w:sz w:val="28"/>
          <w:szCs w:val="28"/>
        </w:rPr>
        <w:footnoteReference w:id="3"/>
      </w:r>
      <w:r w:rsidRPr="001E1151">
        <w:rPr>
          <w:sz w:val="28"/>
          <w:szCs w:val="28"/>
        </w:rPr>
        <w:t xml:space="preserve"> в соответствии с выбранной ими таможенной процедурой, в </w:t>
      </w:r>
      <w:r w:rsidRPr="00977783">
        <w:rPr>
          <w:color w:val="000000" w:themeColor="text1"/>
          <w:sz w:val="28"/>
          <w:szCs w:val="28"/>
        </w:rPr>
        <w:t>течение 3 (трех) часов (в отношении товаров, перевозимых железнодорожным или водным транспортом</w:t>
      </w:r>
      <w:r w:rsidRPr="001E1151">
        <w:rPr>
          <w:sz w:val="28"/>
          <w:szCs w:val="28"/>
        </w:rPr>
        <w:t xml:space="preserve"> </w:t>
      </w:r>
      <w:r>
        <w:rPr>
          <w:sz w:val="28"/>
          <w:szCs w:val="28"/>
        </w:rPr>
        <w:t xml:space="preserve">– </w:t>
      </w:r>
      <w:r w:rsidRPr="001E1151">
        <w:rPr>
          <w:sz w:val="28"/>
          <w:szCs w:val="28"/>
        </w:rPr>
        <w:t>12 часов) с момента завершения таможенной процедуры таможенного транзита</w:t>
      </w:r>
      <w:r w:rsidRPr="001E1151">
        <w:rPr>
          <w:rStyle w:val="aa"/>
          <w:sz w:val="28"/>
          <w:szCs w:val="28"/>
        </w:rPr>
        <w:footnoteReference w:id="4"/>
      </w:r>
      <w:r w:rsidRPr="001E1151">
        <w:rPr>
          <w:sz w:val="28"/>
          <w:szCs w:val="28"/>
        </w:rPr>
        <w:t xml:space="preserve"> либо с момента предъявления товаров таможенному органу в месте прибытия. Товары могут не помещаться на временное хранение, если в течение указанного времени совершены таможенные операции, связанные с их таможенным декларированием в соответствии с выбранной таможенной процедурой.</w:t>
      </w:r>
    </w:p>
    <w:p w14:paraId="07A7E29F" w14:textId="7EC28C03" w:rsidR="00E327CE" w:rsidRPr="00693B4B" w:rsidRDefault="00E327CE" w:rsidP="00A92D87">
      <w:pPr>
        <w:autoSpaceDE w:val="0"/>
        <w:autoSpaceDN w:val="0"/>
        <w:adjustRightInd w:val="0"/>
        <w:spacing w:line="20" w:lineRule="atLeast"/>
        <w:ind w:firstLine="709"/>
        <w:jc w:val="both"/>
        <w:rPr>
          <w:b/>
          <w:sz w:val="28"/>
          <w:szCs w:val="28"/>
        </w:rPr>
      </w:pPr>
      <w:r w:rsidRPr="00043787">
        <w:rPr>
          <w:sz w:val="28"/>
          <w:szCs w:val="28"/>
        </w:rPr>
        <w:t>Таким образом, таможенное законодательство предполагает возможность выбора для владельцев товаров, а также иных заинтересованных лиц в отношении данных товаров, пользования услугами временного хранения товаров: при прибытии иностранных товаров в место прибытия  поместить товары на временное хранение либо с помощью процедур электронного, удаленного, предварительного декларирования иностранных товаров в течение 3 (12) часов поместить их под выбранную ими таможенную процедуру, произвести таможенную очистку товаров</w:t>
      </w:r>
      <w:r w:rsidRPr="00043787">
        <w:rPr>
          <w:b/>
          <w:sz w:val="28"/>
          <w:szCs w:val="28"/>
        </w:rPr>
        <w:t xml:space="preserve"> </w:t>
      </w:r>
      <w:r w:rsidRPr="002E6328">
        <w:rPr>
          <w:sz w:val="28"/>
          <w:szCs w:val="28"/>
        </w:rPr>
        <w:t>(за исключением</w:t>
      </w:r>
      <w:r>
        <w:rPr>
          <w:sz w:val="28"/>
          <w:szCs w:val="28"/>
        </w:rPr>
        <w:t xml:space="preserve"> </w:t>
      </w:r>
      <w:r w:rsidRPr="00E22BF5">
        <w:rPr>
          <w:color w:val="000000" w:themeColor="text1"/>
          <w:sz w:val="28"/>
          <w:szCs w:val="28"/>
        </w:rPr>
        <w:t>случая</w:t>
      </w:r>
      <w:r>
        <w:rPr>
          <w:sz w:val="28"/>
          <w:szCs w:val="28"/>
        </w:rPr>
        <w:t>,</w:t>
      </w:r>
      <w:r w:rsidRPr="002E6328">
        <w:rPr>
          <w:sz w:val="28"/>
          <w:szCs w:val="28"/>
        </w:rPr>
        <w:t xml:space="preserve"> </w:t>
      </w:r>
      <w:r w:rsidRPr="00731E68">
        <w:rPr>
          <w:color w:val="000000" w:themeColor="text1"/>
          <w:sz w:val="28"/>
          <w:szCs w:val="28"/>
        </w:rPr>
        <w:t>когда т</w:t>
      </w:r>
      <w:r w:rsidRPr="002E6328">
        <w:rPr>
          <w:sz w:val="28"/>
          <w:szCs w:val="28"/>
        </w:rPr>
        <w:t>аможенным органом определена необходимость проведения таможенного контроля в форме таможенного</w:t>
      </w:r>
      <w:r>
        <w:rPr>
          <w:sz w:val="28"/>
          <w:szCs w:val="28"/>
        </w:rPr>
        <w:t xml:space="preserve"> осмотра и досмотра, который не</w:t>
      </w:r>
      <w:r w:rsidRPr="002E6328">
        <w:rPr>
          <w:sz w:val="28"/>
          <w:szCs w:val="28"/>
        </w:rPr>
        <w:t>возможно осуществить в рамках вышеуказанного времени 3(12)</w:t>
      </w:r>
      <w:r>
        <w:rPr>
          <w:sz w:val="28"/>
          <w:szCs w:val="28"/>
        </w:rPr>
        <w:t xml:space="preserve"> </w:t>
      </w:r>
      <w:r w:rsidRPr="002E6328">
        <w:rPr>
          <w:sz w:val="28"/>
          <w:szCs w:val="28"/>
        </w:rPr>
        <w:t>часов</w:t>
      </w:r>
      <w:r w:rsidRPr="000577D0">
        <w:rPr>
          <w:sz w:val="28"/>
          <w:szCs w:val="28"/>
        </w:rPr>
        <w:t>).</w:t>
      </w:r>
    </w:p>
    <w:p w14:paraId="4EADAA4E" w14:textId="77777777" w:rsidR="00E327CE" w:rsidRPr="00DD0CCF" w:rsidRDefault="00E327CE" w:rsidP="00A92D87">
      <w:pPr>
        <w:autoSpaceDE w:val="0"/>
        <w:autoSpaceDN w:val="0"/>
        <w:adjustRightInd w:val="0"/>
        <w:spacing w:line="20" w:lineRule="atLeast"/>
        <w:ind w:firstLine="709"/>
        <w:jc w:val="both"/>
        <w:rPr>
          <w:sz w:val="28"/>
          <w:szCs w:val="28"/>
        </w:rPr>
      </w:pPr>
      <w:r w:rsidRPr="00DD0CCF">
        <w:rPr>
          <w:color w:val="000000" w:themeColor="text1"/>
          <w:sz w:val="28"/>
          <w:szCs w:val="28"/>
        </w:rPr>
        <w:t>При определении</w:t>
      </w:r>
      <w:r w:rsidRPr="00DD0CCF">
        <w:rPr>
          <w:sz w:val="28"/>
          <w:szCs w:val="28"/>
        </w:rPr>
        <w:t xml:space="preserve"> наличия/отсутствия взаимозаменяемых услуг временного хранения иностранных товаров необходимо учитывать следующее.</w:t>
      </w:r>
    </w:p>
    <w:p w14:paraId="433B2DD5" w14:textId="77777777"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В соответствии со статьей 99 Кодекса Союза местами временного хранения товаров являются:</w:t>
      </w:r>
    </w:p>
    <w:p w14:paraId="505A1620" w14:textId="77777777" w:rsidR="004969F6" w:rsidRPr="004969F6" w:rsidRDefault="004969F6" w:rsidP="004969F6">
      <w:pPr>
        <w:autoSpaceDE w:val="0"/>
        <w:autoSpaceDN w:val="0"/>
        <w:adjustRightInd w:val="0"/>
        <w:spacing w:line="20" w:lineRule="atLeast"/>
        <w:ind w:firstLine="709"/>
        <w:jc w:val="both"/>
        <w:rPr>
          <w:sz w:val="28"/>
          <w:szCs w:val="28"/>
        </w:rPr>
      </w:pPr>
      <w:r w:rsidRPr="00171026">
        <w:rPr>
          <w:sz w:val="28"/>
          <w:szCs w:val="28"/>
        </w:rPr>
        <w:t>1) склад временного хранения таможенного органа;</w:t>
      </w:r>
    </w:p>
    <w:p w14:paraId="2B0FA9FC" w14:textId="0F47C240"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2) помещение, открытая площадка и иная территория уполномоченного экономического оператора;</w:t>
      </w:r>
    </w:p>
    <w:p w14:paraId="12F8F2A7" w14:textId="77777777"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3) помещение, склад, открытая площадка и иная территория получателя товаров;</w:t>
      </w:r>
    </w:p>
    <w:p w14:paraId="7381BCCB" w14:textId="4EF3D236"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4) отдельное помещение в месте международного почтового обмена либо иное место, предназначенное для совершения таможенных операций в отношении товаров, пересылаемых в международных почтовых отправлениях;</w:t>
      </w:r>
    </w:p>
    <w:p w14:paraId="5334A690" w14:textId="77777777"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5) место хранения неполученного или невостребованного багажа, перемещаемого в рамках договора об авиационной или о железнодорожной перевозке пассажира;</w:t>
      </w:r>
    </w:p>
    <w:p w14:paraId="25E6D508" w14:textId="77777777"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6) место разгрузки и перегрузки (перевалки) товаров в пределах территории морского (речного) порта;</w:t>
      </w:r>
    </w:p>
    <w:p w14:paraId="23874AE8" w14:textId="77777777"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7) площадка, расположенная в пределах режимной территории воздушного пункта пропуска, предназначенная для временного хранения воздушного судна (его крупногабаритных запасных частей) в месте его стоянки и (или) обслуживания либо предназначенная для разгрузки и перегрузки (перевалки) иностранных товаров, место ввоза которых в Российскую Федерацию и место вывоза из Российской Федерации совпадают;</w:t>
      </w:r>
    </w:p>
    <w:p w14:paraId="18516633" w14:textId="77777777"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8) железнодорожные пути и контейнерные площадки, расположенные в согласованных с таможенными органами местах в пределах железнодорожных станций и предназначенные для временного хранения товаров без их выгрузки из транспортных средств;</w:t>
      </w:r>
    </w:p>
    <w:p w14:paraId="05CA63AF" w14:textId="77777777" w:rsidR="004969F6" w:rsidRPr="004969F6" w:rsidRDefault="004969F6" w:rsidP="004969F6">
      <w:pPr>
        <w:autoSpaceDE w:val="0"/>
        <w:autoSpaceDN w:val="0"/>
        <w:adjustRightInd w:val="0"/>
        <w:spacing w:line="20" w:lineRule="atLeast"/>
        <w:ind w:firstLine="709"/>
        <w:jc w:val="both"/>
        <w:rPr>
          <w:sz w:val="28"/>
          <w:szCs w:val="28"/>
        </w:rPr>
      </w:pPr>
      <w:r w:rsidRPr="00171026">
        <w:rPr>
          <w:sz w:val="28"/>
          <w:szCs w:val="28"/>
        </w:rPr>
        <w:t>9) территория свободного склада;</w:t>
      </w:r>
    </w:p>
    <w:p w14:paraId="405EEA0B" w14:textId="77777777"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10) участок акватории морского (речного) порта, расположенный в пределах пункта пропуска через Государственную границу Российской Федерации либо в месте доставки товаров;</w:t>
      </w:r>
    </w:p>
    <w:p w14:paraId="14458E0D" w14:textId="77777777" w:rsidR="004969F6" w:rsidRPr="004969F6" w:rsidRDefault="004969F6" w:rsidP="004969F6">
      <w:pPr>
        <w:autoSpaceDE w:val="0"/>
        <w:autoSpaceDN w:val="0"/>
        <w:adjustRightInd w:val="0"/>
        <w:spacing w:line="20" w:lineRule="atLeast"/>
        <w:ind w:firstLine="709"/>
        <w:jc w:val="both"/>
        <w:rPr>
          <w:sz w:val="28"/>
          <w:szCs w:val="28"/>
        </w:rPr>
      </w:pPr>
      <w:r w:rsidRPr="004969F6">
        <w:rPr>
          <w:sz w:val="28"/>
          <w:szCs w:val="28"/>
        </w:rPr>
        <w:t>11) место постоянного или временного проживания (пребывания), заявленное иностранным физическим лицом, осуществившим ввоз товаров и имеющим намерение переселиться на постоянное место жительства в Российскую Федерацию, получить статус беженца или вынужденного переселенца в соответствии с законодательством Российской Федерации;</w:t>
      </w:r>
    </w:p>
    <w:p w14:paraId="4B674B55" w14:textId="7AD44DF6" w:rsidR="004969F6" w:rsidRPr="004969F6" w:rsidRDefault="004969F6" w:rsidP="004969F6">
      <w:pPr>
        <w:autoSpaceDE w:val="0"/>
        <w:autoSpaceDN w:val="0"/>
        <w:adjustRightInd w:val="0"/>
        <w:spacing w:line="20" w:lineRule="atLeast"/>
        <w:ind w:firstLine="709"/>
        <w:jc w:val="both"/>
        <w:rPr>
          <w:sz w:val="28"/>
          <w:szCs w:val="28"/>
        </w:rPr>
      </w:pPr>
      <w:r w:rsidRPr="00EB78C5">
        <w:rPr>
          <w:sz w:val="28"/>
          <w:szCs w:val="28"/>
        </w:rPr>
        <w:t>12) склад магазина беспошлинной торговли в отношении товаров, заявленных под таможенную процедуру беспошлинной торговли, в том числе в целях проведения таможенного контроля в отношении данных товаров до выпуска таких товаров;</w:t>
      </w:r>
    </w:p>
    <w:p w14:paraId="2DF105D5" w14:textId="77777777" w:rsidR="004969F6" w:rsidRDefault="004969F6" w:rsidP="004969F6">
      <w:pPr>
        <w:autoSpaceDE w:val="0"/>
        <w:autoSpaceDN w:val="0"/>
        <w:adjustRightInd w:val="0"/>
        <w:spacing w:line="20" w:lineRule="atLeast"/>
        <w:ind w:firstLine="709"/>
        <w:jc w:val="both"/>
        <w:rPr>
          <w:sz w:val="28"/>
          <w:szCs w:val="28"/>
        </w:rPr>
      </w:pPr>
      <w:r w:rsidRPr="004969F6">
        <w:rPr>
          <w:sz w:val="28"/>
          <w:szCs w:val="28"/>
        </w:rPr>
        <w:t>13) другие места, определяемые федеральными законами или актами Правительства Российской Федерации.</w:t>
      </w:r>
    </w:p>
    <w:p w14:paraId="49643B31" w14:textId="77777777" w:rsidR="00CC7E6E" w:rsidRPr="00CC7E6E" w:rsidRDefault="00CC7E6E" w:rsidP="00CC7E6E">
      <w:pPr>
        <w:autoSpaceDE w:val="0"/>
        <w:autoSpaceDN w:val="0"/>
        <w:adjustRightInd w:val="0"/>
        <w:spacing w:line="20" w:lineRule="atLeast"/>
        <w:ind w:firstLine="709"/>
        <w:jc w:val="both"/>
        <w:rPr>
          <w:sz w:val="28"/>
          <w:szCs w:val="28"/>
        </w:rPr>
      </w:pPr>
      <w:r w:rsidRPr="00CC7E6E">
        <w:rPr>
          <w:sz w:val="28"/>
          <w:szCs w:val="28"/>
        </w:rPr>
        <w:t>При этом, необходимо учитывать:</w:t>
      </w:r>
    </w:p>
    <w:p w14:paraId="253F97CD" w14:textId="2F43542D" w:rsidR="00CC7E6E" w:rsidRPr="001D0E47" w:rsidRDefault="00CC7E6E" w:rsidP="00CC7E6E">
      <w:pPr>
        <w:autoSpaceDE w:val="0"/>
        <w:autoSpaceDN w:val="0"/>
        <w:adjustRightInd w:val="0"/>
        <w:spacing w:line="20" w:lineRule="atLeast"/>
        <w:ind w:firstLine="709"/>
        <w:jc w:val="both"/>
        <w:rPr>
          <w:sz w:val="28"/>
          <w:szCs w:val="28"/>
        </w:rPr>
      </w:pPr>
      <w:r w:rsidRPr="001D0E47">
        <w:rPr>
          <w:sz w:val="28"/>
          <w:szCs w:val="28"/>
        </w:rPr>
        <w:t xml:space="preserve">– временное хранение иностранных товаров в местах, перечисленных в пунктах 2, 3, 5, 11 </w:t>
      </w:r>
      <w:r w:rsidRPr="00EB78C5">
        <w:rPr>
          <w:sz w:val="28"/>
          <w:szCs w:val="28"/>
        </w:rPr>
        <w:t>осуществляется для собственных целей и не подразумевает возмездного оказания услуг третьим лицам</w:t>
      </w:r>
      <w:r w:rsidRPr="001D0E47">
        <w:rPr>
          <w:sz w:val="28"/>
          <w:szCs w:val="28"/>
        </w:rPr>
        <w:t>;</w:t>
      </w:r>
    </w:p>
    <w:p w14:paraId="13AF5483" w14:textId="77777777" w:rsidR="00CC7E6E" w:rsidRPr="001D0E47" w:rsidRDefault="00CC7E6E" w:rsidP="00CC7E6E">
      <w:pPr>
        <w:autoSpaceDE w:val="0"/>
        <w:autoSpaceDN w:val="0"/>
        <w:adjustRightInd w:val="0"/>
        <w:spacing w:line="20" w:lineRule="atLeast"/>
        <w:ind w:firstLine="709"/>
        <w:jc w:val="both"/>
        <w:rPr>
          <w:sz w:val="28"/>
          <w:szCs w:val="28"/>
        </w:rPr>
      </w:pPr>
      <w:r w:rsidRPr="001D0E47">
        <w:rPr>
          <w:sz w:val="28"/>
          <w:szCs w:val="28"/>
        </w:rPr>
        <w:t>– пункт 4 относится к деятельности по осуществлению международных почтовых отправлений и регулируется специальным законодательством;</w:t>
      </w:r>
    </w:p>
    <w:p w14:paraId="4849F28B" w14:textId="42845AA3" w:rsidR="00CC7E6E" w:rsidRPr="001D0E47" w:rsidRDefault="00CC7E6E" w:rsidP="00CC7E6E">
      <w:pPr>
        <w:autoSpaceDE w:val="0"/>
        <w:autoSpaceDN w:val="0"/>
        <w:adjustRightInd w:val="0"/>
        <w:spacing w:line="20" w:lineRule="atLeast"/>
        <w:ind w:firstLine="709"/>
        <w:jc w:val="both"/>
        <w:rPr>
          <w:sz w:val="28"/>
          <w:szCs w:val="28"/>
        </w:rPr>
      </w:pPr>
      <w:r w:rsidRPr="001D0E47">
        <w:rPr>
          <w:sz w:val="28"/>
          <w:szCs w:val="28"/>
        </w:rPr>
        <w:t xml:space="preserve"> – пункты 6, 7, 8, 10 относятся к специфике осуществления перевозки товаров воздушным, железнодорожным, водным и авиационным транспортом, связанной с перегрузкой товаров, затраты на которые учитываются в логистических тарифах перевозки товаров;</w:t>
      </w:r>
    </w:p>
    <w:p w14:paraId="228138C1" w14:textId="757CABC7" w:rsidR="001D0E47" w:rsidRPr="001D0E47" w:rsidRDefault="001D0E47" w:rsidP="007771E8">
      <w:pPr>
        <w:autoSpaceDE w:val="0"/>
        <w:autoSpaceDN w:val="0"/>
        <w:adjustRightInd w:val="0"/>
        <w:spacing w:line="20" w:lineRule="atLeast"/>
        <w:ind w:firstLine="709"/>
        <w:jc w:val="both"/>
        <w:rPr>
          <w:sz w:val="28"/>
          <w:szCs w:val="28"/>
        </w:rPr>
      </w:pPr>
      <w:r w:rsidRPr="00EB78C5">
        <w:rPr>
          <w:sz w:val="28"/>
          <w:szCs w:val="28"/>
        </w:rPr>
        <w:t>- пункт</w:t>
      </w:r>
      <w:r w:rsidR="00CC7E6E" w:rsidRPr="00EB78C5">
        <w:rPr>
          <w:sz w:val="28"/>
          <w:szCs w:val="28"/>
        </w:rPr>
        <w:t xml:space="preserve"> 9</w:t>
      </w:r>
      <w:r w:rsidR="0003791B" w:rsidRPr="00EB78C5">
        <w:rPr>
          <w:sz w:val="28"/>
          <w:szCs w:val="28"/>
        </w:rPr>
        <w:t xml:space="preserve"> </w:t>
      </w:r>
      <w:r w:rsidRPr="00EB78C5">
        <w:rPr>
          <w:sz w:val="28"/>
          <w:szCs w:val="28"/>
        </w:rPr>
        <w:t>т</w:t>
      </w:r>
      <w:r w:rsidR="0003791B" w:rsidRPr="00EB78C5">
        <w:rPr>
          <w:sz w:val="28"/>
          <w:szCs w:val="28"/>
        </w:rPr>
        <w:t xml:space="preserve">аможенная процедура свободного склада предполагает, что товары размещаются и используются на свободном складе без уплаты таможенных пошлин, без применения мер нетарифного регулирования к иностранным товарам и без применения запретов и ограничений к товарам ТС. Время нахождения товаров под таможенной процедурой свободного склада может </w:t>
      </w:r>
      <w:r w:rsidR="002F39F8" w:rsidRPr="00EB78C5">
        <w:rPr>
          <w:sz w:val="28"/>
          <w:szCs w:val="28"/>
        </w:rPr>
        <w:t>быть ограничено</w:t>
      </w:r>
      <w:r w:rsidR="0003791B" w:rsidRPr="00EB78C5">
        <w:rPr>
          <w:sz w:val="28"/>
          <w:szCs w:val="28"/>
        </w:rPr>
        <w:t xml:space="preserve"> только </w:t>
      </w:r>
      <w:r w:rsidRPr="00EB78C5">
        <w:rPr>
          <w:sz w:val="28"/>
          <w:szCs w:val="28"/>
        </w:rPr>
        <w:t>сроком функционирования склада</w:t>
      </w:r>
      <w:r w:rsidR="007771E8" w:rsidRPr="00CA5D16">
        <w:rPr>
          <w:sz w:val="28"/>
          <w:szCs w:val="28"/>
        </w:rPr>
        <w:t>. В настоящий момент на территории Российской Федерации отсутствуют функционирующие владельцы свободных складов, законопроект, регулирующий таможенные процедуры свободного склада 16.06.2017 отклонен Государственной Думой ФС РФ (Постановление № 1736-7 ГД)</w:t>
      </w:r>
      <w:r w:rsidRPr="00CA5D16">
        <w:rPr>
          <w:sz w:val="28"/>
          <w:szCs w:val="28"/>
        </w:rPr>
        <w:t>;</w:t>
      </w:r>
    </w:p>
    <w:p w14:paraId="6A95EB7D" w14:textId="704C83A0" w:rsidR="00CC7E6E" w:rsidRPr="001D0E47" w:rsidRDefault="00CC7E6E" w:rsidP="001D0E47">
      <w:pPr>
        <w:autoSpaceDE w:val="0"/>
        <w:autoSpaceDN w:val="0"/>
        <w:adjustRightInd w:val="0"/>
        <w:spacing w:line="20" w:lineRule="atLeast"/>
        <w:ind w:firstLine="709"/>
        <w:jc w:val="both"/>
        <w:rPr>
          <w:sz w:val="28"/>
          <w:szCs w:val="28"/>
          <w:highlight w:val="yellow"/>
        </w:rPr>
      </w:pPr>
      <w:r w:rsidRPr="001D0E47">
        <w:rPr>
          <w:sz w:val="28"/>
          <w:szCs w:val="28"/>
        </w:rPr>
        <w:t>-</w:t>
      </w:r>
      <w:r w:rsidR="009B17AC" w:rsidRPr="001D0E47">
        <w:rPr>
          <w:sz w:val="28"/>
          <w:szCs w:val="28"/>
        </w:rPr>
        <w:t xml:space="preserve"> </w:t>
      </w:r>
      <w:r w:rsidR="001D0E47" w:rsidRPr="009B41DE">
        <w:rPr>
          <w:sz w:val="28"/>
          <w:szCs w:val="28"/>
        </w:rPr>
        <w:t>пункт</w:t>
      </w:r>
      <w:r w:rsidRPr="009B41DE">
        <w:rPr>
          <w:sz w:val="28"/>
          <w:szCs w:val="28"/>
        </w:rPr>
        <w:t xml:space="preserve"> 12</w:t>
      </w:r>
      <w:r w:rsidR="002F39F8" w:rsidRPr="001D0E47">
        <w:rPr>
          <w:sz w:val="28"/>
          <w:szCs w:val="28"/>
        </w:rPr>
        <w:t xml:space="preserve"> </w:t>
      </w:r>
      <w:r w:rsidR="001D0E47" w:rsidRPr="001D0E47">
        <w:rPr>
          <w:sz w:val="28"/>
          <w:szCs w:val="28"/>
        </w:rPr>
        <w:t>- н</w:t>
      </w:r>
      <w:r w:rsidR="002F39F8" w:rsidRPr="001D0E47">
        <w:rPr>
          <w:sz w:val="28"/>
          <w:szCs w:val="28"/>
        </w:rPr>
        <w:t>е допускается использование территорий магазина беспошлинной торговли для хранения и реализации товаров, не заявленных к таможенной процедуре беспошлинной торговли.</w:t>
      </w:r>
    </w:p>
    <w:p w14:paraId="0402F069" w14:textId="4AD6EDE6" w:rsidR="00CC7E6E" w:rsidRPr="007F1DF4" w:rsidRDefault="00CC7E6E" w:rsidP="00CC7E6E">
      <w:pPr>
        <w:autoSpaceDE w:val="0"/>
        <w:autoSpaceDN w:val="0"/>
        <w:adjustRightInd w:val="0"/>
        <w:spacing w:line="20" w:lineRule="atLeast"/>
        <w:ind w:firstLine="709"/>
        <w:jc w:val="both"/>
        <w:rPr>
          <w:i/>
          <w:sz w:val="28"/>
          <w:szCs w:val="28"/>
          <w:highlight w:val="yellow"/>
        </w:rPr>
      </w:pPr>
      <w:r w:rsidRPr="001D0E47">
        <w:rPr>
          <w:sz w:val="28"/>
          <w:szCs w:val="28"/>
        </w:rPr>
        <w:t xml:space="preserve">В связи с изложенным, деятельность по хранению товаров в указанных пунктах не является взаимозаменяемой при определении продуктовых границ рынка услуг СВХ. </w:t>
      </w:r>
    </w:p>
    <w:p w14:paraId="449C3952" w14:textId="77777777" w:rsidR="00910FE6" w:rsidRPr="001D0E47" w:rsidRDefault="00E327CE" w:rsidP="00A92D87">
      <w:pPr>
        <w:autoSpaceDE w:val="0"/>
        <w:autoSpaceDN w:val="0"/>
        <w:adjustRightInd w:val="0"/>
        <w:spacing w:line="20" w:lineRule="atLeast"/>
        <w:ind w:firstLine="709"/>
        <w:jc w:val="both"/>
        <w:rPr>
          <w:color w:val="000000" w:themeColor="text1"/>
          <w:sz w:val="28"/>
          <w:szCs w:val="28"/>
        </w:rPr>
      </w:pPr>
      <w:r w:rsidRPr="001D0E47">
        <w:rPr>
          <w:sz w:val="28"/>
          <w:szCs w:val="28"/>
        </w:rPr>
        <w:t xml:space="preserve">В соответствии со статьей 201 Закона </w:t>
      </w:r>
      <w:r w:rsidRPr="001D0E47">
        <w:rPr>
          <w:color w:val="000000" w:themeColor="text1"/>
          <w:sz w:val="28"/>
          <w:szCs w:val="28"/>
        </w:rPr>
        <w:t>о таможенном регулировании склады таможенных органов являются складами открытого типа и должны отвечать требованиям, которые в соответствии со статьей 71 Зак</w:t>
      </w:r>
      <w:r w:rsidR="00910FE6" w:rsidRPr="001D0E47">
        <w:rPr>
          <w:color w:val="000000" w:themeColor="text1"/>
          <w:sz w:val="28"/>
          <w:szCs w:val="28"/>
        </w:rPr>
        <w:t xml:space="preserve">она о таможенном регулировании </w:t>
      </w:r>
      <w:r w:rsidRPr="001D0E47">
        <w:rPr>
          <w:color w:val="000000" w:themeColor="text1"/>
          <w:sz w:val="28"/>
          <w:szCs w:val="28"/>
        </w:rPr>
        <w:t>предъявляются к складам временного хранения хозяйствующих субъектов. При хранении товаров на складах таможенных органов взаимоотношения таможенных органов с лицами, помещающими товары на эти склады, осуществляются в соответствии с Зако</w:t>
      </w:r>
      <w:r w:rsidR="00910FE6" w:rsidRPr="001D0E47">
        <w:rPr>
          <w:color w:val="000000" w:themeColor="text1"/>
          <w:sz w:val="28"/>
          <w:szCs w:val="28"/>
        </w:rPr>
        <w:t xml:space="preserve">ном о таможенном регулировании </w:t>
      </w:r>
    </w:p>
    <w:p w14:paraId="384FE046" w14:textId="77777777" w:rsidR="00E327CE" w:rsidRPr="001D0E47" w:rsidRDefault="00E327CE" w:rsidP="00910FE6">
      <w:pPr>
        <w:autoSpaceDE w:val="0"/>
        <w:autoSpaceDN w:val="0"/>
        <w:adjustRightInd w:val="0"/>
        <w:spacing w:line="20" w:lineRule="atLeast"/>
        <w:jc w:val="both"/>
        <w:rPr>
          <w:color w:val="000000" w:themeColor="text1"/>
          <w:sz w:val="28"/>
          <w:szCs w:val="28"/>
        </w:rPr>
      </w:pPr>
      <w:r w:rsidRPr="001D0E47">
        <w:rPr>
          <w:color w:val="000000" w:themeColor="text1"/>
          <w:sz w:val="28"/>
          <w:szCs w:val="28"/>
        </w:rPr>
        <w:t xml:space="preserve">и ГК РФ. </w:t>
      </w:r>
    </w:p>
    <w:p w14:paraId="134AEB5D" w14:textId="295170E6" w:rsidR="001B17E7" w:rsidRPr="001B17E7" w:rsidRDefault="001B17E7" w:rsidP="00A92D87">
      <w:pPr>
        <w:autoSpaceDE w:val="0"/>
        <w:autoSpaceDN w:val="0"/>
        <w:adjustRightInd w:val="0"/>
        <w:spacing w:line="20" w:lineRule="atLeast"/>
        <w:ind w:firstLine="709"/>
        <w:jc w:val="both"/>
        <w:rPr>
          <w:b/>
          <w:i/>
          <w:color w:val="000000" w:themeColor="text1"/>
        </w:rPr>
      </w:pPr>
      <w:r w:rsidRPr="001B17E7">
        <w:rPr>
          <w:color w:val="000000" w:themeColor="text1"/>
          <w:sz w:val="28"/>
          <w:szCs w:val="28"/>
        </w:rPr>
        <w:t>В соответствии с частью 3 статьи 34 Закона о таможенном регулировании организации и государственные унитарные предприятия таможенных органов, включая их филиалы и представительства, а также иные организации, участниками (членами) которых прямо или косвенно являются эти организации или государственные унитарные предприятия, не могут осуществлять деятельность в сфере таможенного дела.</w:t>
      </w:r>
    </w:p>
    <w:p w14:paraId="3A153381" w14:textId="39FA99F9" w:rsidR="00E327CE" w:rsidRPr="0062395D" w:rsidRDefault="00E05807" w:rsidP="00A92D87">
      <w:pPr>
        <w:autoSpaceDE w:val="0"/>
        <w:autoSpaceDN w:val="0"/>
        <w:adjustRightInd w:val="0"/>
        <w:spacing w:line="20" w:lineRule="atLeast"/>
        <w:ind w:firstLine="709"/>
        <w:jc w:val="both"/>
        <w:rPr>
          <w:sz w:val="28"/>
          <w:szCs w:val="28"/>
        </w:rPr>
      </w:pPr>
      <w:r>
        <w:rPr>
          <w:sz w:val="28"/>
          <w:szCs w:val="28"/>
        </w:rPr>
        <w:t>Кроме того, таможенные органы</w:t>
      </w:r>
      <w:r w:rsidR="00E327CE" w:rsidRPr="00180FDE">
        <w:rPr>
          <w:sz w:val="28"/>
          <w:szCs w:val="28"/>
        </w:rPr>
        <w:t xml:space="preserve"> согласно 4 статье </w:t>
      </w:r>
      <w:r w:rsidR="00B00E02">
        <w:rPr>
          <w:sz w:val="28"/>
          <w:szCs w:val="28"/>
        </w:rPr>
        <w:t>Закона о защите конкуренции</w:t>
      </w:r>
      <w:r w:rsidR="00E327CE" w:rsidRPr="00180FDE">
        <w:rPr>
          <w:sz w:val="28"/>
          <w:szCs w:val="28"/>
        </w:rPr>
        <w:t xml:space="preserve"> не могут явл</w:t>
      </w:r>
      <w:r w:rsidR="00E327CE">
        <w:rPr>
          <w:sz w:val="28"/>
          <w:szCs w:val="28"/>
        </w:rPr>
        <w:t xml:space="preserve">яться хозяйствующими субъектами, </w:t>
      </w:r>
      <w:r w:rsidR="00982856">
        <w:rPr>
          <w:sz w:val="28"/>
          <w:szCs w:val="28"/>
        </w:rPr>
        <w:t>поскольку хозяйствующий субъектом признается коммерческая, некоммерческая организация осуществляющая деятельность, приносящая доход.</w:t>
      </w:r>
    </w:p>
    <w:p w14:paraId="5A65A0A5" w14:textId="77777777" w:rsidR="00E327CE" w:rsidRDefault="00E327CE" w:rsidP="00A92D87">
      <w:pPr>
        <w:autoSpaceDE w:val="0"/>
        <w:autoSpaceDN w:val="0"/>
        <w:adjustRightInd w:val="0"/>
        <w:spacing w:line="20" w:lineRule="atLeast"/>
        <w:ind w:firstLine="709"/>
        <w:jc w:val="both"/>
        <w:rPr>
          <w:color w:val="000000" w:themeColor="text1"/>
          <w:sz w:val="28"/>
          <w:szCs w:val="28"/>
        </w:rPr>
      </w:pPr>
      <w:r w:rsidRPr="00091953">
        <w:rPr>
          <w:color w:val="000000" w:themeColor="text1"/>
          <w:sz w:val="28"/>
          <w:szCs w:val="28"/>
        </w:rPr>
        <w:t>Таким образом, услуги временного хранения товаров, оказываемые таможенными органами, выходят за рамки продуктовых границ рынка услуг временного хранения, и не учитываются</w:t>
      </w:r>
      <w:r w:rsidR="00091953" w:rsidRPr="00091953">
        <w:rPr>
          <w:color w:val="000000" w:themeColor="text1"/>
          <w:sz w:val="28"/>
          <w:szCs w:val="28"/>
        </w:rPr>
        <w:t xml:space="preserve"> в данном анализе.</w:t>
      </w:r>
    </w:p>
    <w:p w14:paraId="70D7DFEC" w14:textId="787E4D69" w:rsidR="00E327CE" w:rsidRDefault="00E327CE" w:rsidP="00A92D87">
      <w:pPr>
        <w:autoSpaceDE w:val="0"/>
        <w:autoSpaceDN w:val="0"/>
        <w:adjustRightInd w:val="0"/>
        <w:spacing w:line="20" w:lineRule="atLeast"/>
        <w:ind w:firstLine="709"/>
        <w:jc w:val="both"/>
        <w:rPr>
          <w:b/>
          <w:sz w:val="28"/>
          <w:szCs w:val="28"/>
        </w:rPr>
      </w:pPr>
      <w:r w:rsidRPr="00A82817">
        <w:rPr>
          <w:color w:val="000000" w:themeColor="text1"/>
          <w:sz w:val="28"/>
          <w:szCs w:val="28"/>
        </w:rPr>
        <w:t>Таким образом,</w:t>
      </w:r>
      <w:r>
        <w:rPr>
          <w:sz w:val="28"/>
          <w:szCs w:val="28"/>
        </w:rPr>
        <w:t xml:space="preserve"> </w:t>
      </w:r>
      <w:r w:rsidRPr="00180FDE">
        <w:rPr>
          <w:sz w:val="28"/>
          <w:szCs w:val="28"/>
        </w:rPr>
        <w:t xml:space="preserve">продуктовыми границами исследуемого рынка следует считать </w:t>
      </w:r>
      <w:r w:rsidRPr="00555060">
        <w:rPr>
          <w:b/>
          <w:sz w:val="28"/>
          <w:szCs w:val="28"/>
        </w:rPr>
        <w:t>комплекс типовых услуг (включая сопутствующие услуги</w:t>
      </w:r>
      <w:r w:rsidR="00B00E02">
        <w:rPr>
          <w:rStyle w:val="aa"/>
          <w:b/>
          <w:sz w:val="28"/>
          <w:szCs w:val="28"/>
        </w:rPr>
        <w:footnoteReference w:id="5"/>
      </w:r>
      <w:r w:rsidR="00930117">
        <w:rPr>
          <w:b/>
          <w:sz w:val="28"/>
          <w:szCs w:val="28"/>
        </w:rPr>
        <w:t>.</w:t>
      </w:r>
      <w:r w:rsidRPr="00555060">
        <w:rPr>
          <w:b/>
          <w:sz w:val="28"/>
          <w:szCs w:val="28"/>
        </w:rPr>
        <w:t xml:space="preserve">) временного хранения иностранных товаров, оказываемых владельцами </w:t>
      </w:r>
      <w:r w:rsidRPr="00555060">
        <w:rPr>
          <w:b/>
          <w:color w:val="000000" w:themeColor="text1"/>
          <w:sz w:val="28"/>
          <w:szCs w:val="28"/>
        </w:rPr>
        <w:t>СВХ</w:t>
      </w:r>
      <w:r w:rsidRPr="00555060">
        <w:rPr>
          <w:b/>
          <w:sz w:val="28"/>
          <w:szCs w:val="28"/>
        </w:rPr>
        <w:t xml:space="preserve"> открытого типа</w:t>
      </w:r>
      <w:r w:rsidR="005F7CEF" w:rsidRPr="005F7CEF">
        <w:rPr>
          <w:sz w:val="28"/>
          <w:szCs w:val="28"/>
        </w:rPr>
        <w:t>,</w:t>
      </w:r>
      <w:r w:rsidR="005F7CEF" w:rsidRPr="005F7CEF">
        <w:t xml:space="preserve"> </w:t>
      </w:r>
      <w:r w:rsidR="005F7CEF" w:rsidRPr="005F7CEF">
        <w:rPr>
          <w:sz w:val="28"/>
          <w:szCs w:val="28"/>
        </w:rPr>
        <w:t>в соответствии со статьей 98 главы 16 Кодекс</w:t>
      </w:r>
      <w:r w:rsidR="005F7CEF">
        <w:rPr>
          <w:sz w:val="28"/>
          <w:szCs w:val="28"/>
        </w:rPr>
        <w:t>а</w:t>
      </w:r>
      <w:r w:rsidR="005F7CEF" w:rsidRPr="005F7CEF">
        <w:rPr>
          <w:sz w:val="28"/>
          <w:szCs w:val="28"/>
        </w:rPr>
        <w:t xml:space="preserve"> Союза</w:t>
      </w:r>
      <w:r w:rsidRPr="00555060">
        <w:rPr>
          <w:b/>
          <w:sz w:val="28"/>
          <w:szCs w:val="28"/>
        </w:rPr>
        <w:t>.</w:t>
      </w:r>
    </w:p>
    <w:p w14:paraId="24B65F24" w14:textId="77777777" w:rsidR="00E327CE" w:rsidRPr="00D944EF" w:rsidRDefault="00E327CE" w:rsidP="00A92D87">
      <w:pPr>
        <w:autoSpaceDE w:val="0"/>
        <w:autoSpaceDN w:val="0"/>
        <w:adjustRightInd w:val="0"/>
        <w:spacing w:line="20" w:lineRule="atLeast"/>
        <w:jc w:val="both"/>
        <w:rPr>
          <w:i/>
          <w:sz w:val="28"/>
          <w:szCs w:val="28"/>
        </w:rPr>
      </w:pPr>
    </w:p>
    <w:p w14:paraId="036CAC0B" w14:textId="77777777" w:rsidR="00E327CE" w:rsidRPr="0032799C" w:rsidRDefault="00A92D87" w:rsidP="00A92D87">
      <w:pPr>
        <w:pStyle w:val="ConsPlusNonformat"/>
        <w:widowControl/>
        <w:spacing w:line="20" w:lineRule="atLeast"/>
        <w:jc w:val="center"/>
        <w:outlineLvl w:val="0"/>
        <w:rPr>
          <w:rFonts w:ascii="Times New Roman" w:hAnsi="Times New Roman" w:cs="Times New Roman"/>
          <w:b/>
          <w:sz w:val="28"/>
          <w:szCs w:val="28"/>
        </w:rPr>
      </w:pPr>
      <w:bookmarkStart w:id="4" w:name="_Toc388459820"/>
      <w:r>
        <w:rPr>
          <w:rFonts w:ascii="Times New Roman" w:hAnsi="Times New Roman" w:cs="Times New Roman"/>
          <w:b/>
          <w:sz w:val="28"/>
          <w:szCs w:val="28"/>
          <w:lang w:val="en-US"/>
        </w:rPr>
        <w:t>IV</w:t>
      </w:r>
      <w:r w:rsidRPr="00A92D87">
        <w:rPr>
          <w:rFonts w:ascii="Times New Roman" w:hAnsi="Times New Roman" w:cs="Times New Roman"/>
          <w:b/>
          <w:sz w:val="28"/>
          <w:szCs w:val="28"/>
        </w:rPr>
        <w:t xml:space="preserve">. </w:t>
      </w:r>
      <w:r w:rsidR="00E327CE">
        <w:rPr>
          <w:rFonts w:ascii="Times New Roman" w:hAnsi="Times New Roman" w:cs="Times New Roman"/>
          <w:b/>
          <w:sz w:val="28"/>
          <w:szCs w:val="28"/>
        </w:rPr>
        <w:t>Г</w:t>
      </w:r>
      <w:r w:rsidR="00E327CE" w:rsidRPr="00213AC9">
        <w:rPr>
          <w:rFonts w:ascii="Times New Roman" w:hAnsi="Times New Roman" w:cs="Times New Roman"/>
          <w:b/>
          <w:sz w:val="28"/>
          <w:szCs w:val="28"/>
        </w:rPr>
        <w:t>еографически</w:t>
      </w:r>
      <w:r w:rsidR="00E327CE">
        <w:rPr>
          <w:rFonts w:ascii="Times New Roman" w:hAnsi="Times New Roman" w:cs="Times New Roman"/>
          <w:b/>
          <w:sz w:val="28"/>
          <w:szCs w:val="28"/>
        </w:rPr>
        <w:t>е</w:t>
      </w:r>
      <w:r w:rsidR="00E327CE" w:rsidRPr="0032799C">
        <w:rPr>
          <w:rFonts w:ascii="Times New Roman" w:hAnsi="Times New Roman" w:cs="Times New Roman"/>
          <w:b/>
          <w:sz w:val="28"/>
          <w:szCs w:val="28"/>
        </w:rPr>
        <w:t xml:space="preserve"> границ</w:t>
      </w:r>
      <w:r w:rsidR="00E327CE">
        <w:rPr>
          <w:rFonts w:ascii="Times New Roman" w:hAnsi="Times New Roman" w:cs="Times New Roman"/>
          <w:b/>
          <w:sz w:val="28"/>
          <w:szCs w:val="28"/>
        </w:rPr>
        <w:t>ы</w:t>
      </w:r>
      <w:r w:rsidR="00E327CE" w:rsidRPr="0032799C">
        <w:rPr>
          <w:rFonts w:ascii="Times New Roman" w:hAnsi="Times New Roman" w:cs="Times New Roman"/>
          <w:b/>
          <w:sz w:val="28"/>
          <w:szCs w:val="28"/>
        </w:rPr>
        <w:t xml:space="preserve"> товарного рынка</w:t>
      </w:r>
      <w:bookmarkEnd w:id="4"/>
    </w:p>
    <w:p w14:paraId="7B10CBCE" w14:textId="77777777" w:rsidR="00E327CE" w:rsidRPr="00213AC9" w:rsidRDefault="00E327CE" w:rsidP="00A92D87">
      <w:pPr>
        <w:pStyle w:val="ConsPlusNonformat"/>
        <w:widowControl/>
        <w:spacing w:line="20" w:lineRule="atLeast"/>
        <w:ind w:left="1069"/>
        <w:jc w:val="both"/>
        <w:rPr>
          <w:rFonts w:ascii="Times New Roman" w:hAnsi="Times New Roman" w:cs="Times New Roman"/>
          <w:b/>
          <w:sz w:val="28"/>
          <w:szCs w:val="28"/>
        </w:rPr>
      </w:pPr>
    </w:p>
    <w:p w14:paraId="4E678550" w14:textId="5DF1B75A" w:rsidR="00E327CE" w:rsidRDefault="00E327CE" w:rsidP="00A92D87">
      <w:pPr>
        <w:pStyle w:val="ConsPlusNonformat"/>
        <w:widowControl/>
        <w:spacing w:line="20" w:lineRule="atLeast"/>
        <w:ind w:firstLine="709"/>
        <w:jc w:val="both"/>
        <w:rPr>
          <w:rFonts w:ascii="Times New Roman" w:hAnsi="Times New Roman" w:cs="Times New Roman"/>
          <w:sz w:val="28"/>
          <w:szCs w:val="28"/>
        </w:rPr>
      </w:pPr>
      <w:r w:rsidRPr="00213AC9">
        <w:rPr>
          <w:rFonts w:ascii="Times New Roman" w:hAnsi="Times New Roman" w:cs="Times New Roman"/>
          <w:sz w:val="28"/>
          <w:szCs w:val="28"/>
        </w:rPr>
        <w:t xml:space="preserve">Анализ </w:t>
      </w:r>
      <w:r>
        <w:rPr>
          <w:rFonts w:ascii="Times New Roman" w:hAnsi="Times New Roman" w:cs="Times New Roman"/>
          <w:sz w:val="28"/>
          <w:szCs w:val="28"/>
        </w:rPr>
        <w:t>данного рынка услуг проводился</w:t>
      </w:r>
      <w:r w:rsidRPr="00213AC9">
        <w:rPr>
          <w:rFonts w:ascii="Times New Roman" w:hAnsi="Times New Roman" w:cs="Times New Roman"/>
          <w:sz w:val="28"/>
          <w:szCs w:val="28"/>
        </w:rPr>
        <w:t xml:space="preserve"> в географических</w:t>
      </w:r>
      <w:r w:rsidRPr="00CE1C5A">
        <w:rPr>
          <w:rFonts w:ascii="Times New Roman" w:hAnsi="Times New Roman" w:cs="Times New Roman"/>
          <w:sz w:val="28"/>
          <w:szCs w:val="28"/>
        </w:rPr>
        <w:t xml:space="preserve"> </w:t>
      </w:r>
      <w:r>
        <w:rPr>
          <w:rFonts w:ascii="Times New Roman" w:hAnsi="Times New Roman" w:cs="Times New Roman"/>
          <w:sz w:val="28"/>
          <w:szCs w:val="28"/>
        </w:rPr>
        <w:t>границах</w:t>
      </w:r>
      <w:r w:rsidRPr="00213AC9">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xml:space="preserve">. Данное решение основывается на следующих </w:t>
      </w:r>
      <w:r w:rsidR="007F1DF4" w:rsidRPr="00B00E02">
        <w:rPr>
          <w:rFonts w:ascii="Times New Roman" w:hAnsi="Times New Roman" w:cs="Times New Roman"/>
          <w:sz w:val="28"/>
          <w:szCs w:val="28"/>
        </w:rPr>
        <w:t>предпосылках</w:t>
      </w:r>
      <w:r w:rsidRPr="00B00E02">
        <w:rPr>
          <w:rFonts w:ascii="Times New Roman" w:hAnsi="Times New Roman" w:cs="Times New Roman"/>
          <w:sz w:val="28"/>
          <w:szCs w:val="28"/>
        </w:rPr>
        <w:t>.</w:t>
      </w:r>
    </w:p>
    <w:p w14:paraId="7472220E" w14:textId="1AF1E8DC" w:rsidR="00E327CE" w:rsidRDefault="00E327CE" w:rsidP="00A92D87">
      <w:pPr>
        <w:pStyle w:val="ConsPlusNonformat"/>
        <w:widowControl/>
        <w:spacing w:line="2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информации, размещенной в реестре владельцев </w:t>
      </w:r>
      <w:r w:rsidRPr="00DF73AD">
        <w:rPr>
          <w:rFonts w:ascii="Times New Roman" w:hAnsi="Times New Roman" w:cs="Times New Roman"/>
          <w:color w:val="000000" w:themeColor="text1"/>
          <w:sz w:val="28"/>
          <w:szCs w:val="28"/>
        </w:rPr>
        <w:t>СВХ</w:t>
      </w:r>
      <w:r>
        <w:rPr>
          <w:rFonts w:ascii="Times New Roman" w:hAnsi="Times New Roman" w:cs="Times New Roman"/>
          <w:sz w:val="28"/>
          <w:szCs w:val="28"/>
        </w:rPr>
        <w:t xml:space="preserve"> на официальном и</w:t>
      </w:r>
      <w:r w:rsidR="003B611E">
        <w:rPr>
          <w:rFonts w:ascii="Times New Roman" w:hAnsi="Times New Roman" w:cs="Times New Roman"/>
          <w:sz w:val="28"/>
          <w:szCs w:val="28"/>
        </w:rPr>
        <w:t>нтернет сайте ФТС России, в 2015-2016</w:t>
      </w:r>
      <w:r>
        <w:rPr>
          <w:rFonts w:ascii="Times New Roman" w:hAnsi="Times New Roman" w:cs="Times New Roman"/>
          <w:sz w:val="28"/>
          <w:szCs w:val="28"/>
        </w:rPr>
        <w:t xml:space="preserve"> году осуществляли хозяйственную деятельность более </w:t>
      </w:r>
      <w:r w:rsidR="003B611E">
        <w:rPr>
          <w:rFonts w:ascii="Times New Roman" w:hAnsi="Times New Roman" w:cs="Times New Roman"/>
          <w:sz w:val="28"/>
          <w:szCs w:val="28"/>
        </w:rPr>
        <w:t>6</w:t>
      </w:r>
      <w:r>
        <w:rPr>
          <w:rFonts w:ascii="Times New Roman" w:hAnsi="Times New Roman" w:cs="Times New Roman"/>
          <w:sz w:val="28"/>
          <w:szCs w:val="28"/>
        </w:rPr>
        <w:t>00 владельцев</w:t>
      </w:r>
      <w:r w:rsidR="006A77E5">
        <w:rPr>
          <w:b/>
          <w:color w:val="FF0000"/>
          <w:sz w:val="28"/>
          <w:szCs w:val="28"/>
        </w:rPr>
        <w:t xml:space="preserve"> </w:t>
      </w:r>
      <w:r w:rsidRPr="006A77E5">
        <w:rPr>
          <w:rFonts w:ascii="Times New Roman" w:hAnsi="Times New Roman" w:cs="Times New Roman"/>
          <w:color w:val="000000" w:themeColor="text1"/>
          <w:sz w:val="28"/>
          <w:szCs w:val="28"/>
        </w:rPr>
        <w:t>СВХ.</w:t>
      </w:r>
      <w:r>
        <w:rPr>
          <w:rFonts w:ascii="Times New Roman" w:hAnsi="Times New Roman" w:cs="Times New Roman"/>
          <w:sz w:val="28"/>
          <w:szCs w:val="28"/>
        </w:rPr>
        <w:t xml:space="preserve"> </w:t>
      </w:r>
    </w:p>
    <w:p w14:paraId="599164AD" w14:textId="77777777" w:rsidR="00E327CE" w:rsidRDefault="00E327CE" w:rsidP="00A92D87">
      <w:pPr>
        <w:pStyle w:val="ConsPlusNonformat"/>
        <w:widowControl/>
        <w:spacing w:line="2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Территориально </w:t>
      </w:r>
      <w:r w:rsidRPr="00DD1505">
        <w:rPr>
          <w:rFonts w:ascii="Times New Roman" w:hAnsi="Times New Roman" w:cs="Times New Roman"/>
          <w:color w:val="000000" w:themeColor="text1"/>
          <w:sz w:val="28"/>
          <w:szCs w:val="28"/>
        </w:rPr>
        <w:t>СВХ</w:t>
      </w:r>
      <w:r>
        <w:rPr>
          <w:rFonts w:ascii="Times New Roman" w:hAnsi="Times New Roman" w:cs="Times New Roman"/>
          <w:sz w:val="28"/>
          <w:szCs w:val="28"/>
        </w:rPr>
        <w:t xml:space="preserve"> размещены во всех 8 Федеральных округах Российской Федерации, в зоне деятельности всех таможен, которые осуществляют свои полномочия в границах субъектов Российской Федерации.</w:t>
      </w:r>
    </w:p>
    <w:p w14:paraId="5F2E1B2D" w14:textId="49C5B0E6" w:rsidR="00BD23BE" w:rsidRPr="00BD23BE" w:rsidRDefault="009B41DE" w:rsidP="00BD23BE">
      <w:pPr>
        <w:autoSpaceDE w:val="0"/>
        <w:autoSpaceDN w:val="0"/>
        <w:adjustRightInd w:val="0"/>
        <w:ind w:firstLine="540"/>
        <w:jc w:val="both"/>
        <w:rPr>
          <w:sz w:val="28"/>
          <w:szCs w:val="28"/>
        </w:rPr>
      </w:pPr>
      <w:r>
        <w:rPr>
          <w:sz w:val="28"/>
          <w:szCs w:val="28"/>
        </w:rPr>
        <w:t>Согласно статье</w:t>
      </w:r>
      <w:r w:rsidR="00BD23BE" w:rsidRPr="00BD23BE">
        <w:rPr>
          <w:sz w:val="28"/>
          <w:szCs w:val="28"/>
        </w:rPr>
        <w:t xml:space="preserve"> 142 Кодекса Союза т</w:t>
      </w:r>
      <w:r w:rsidR="0048774C" w:rsidRPr="00BD23BE">
        <w:rPr>
          <w:sz w:val="28"/>
          <w:szCs w:val="28"/>
        </w:rPr>
        <w:t xml:space="preserve">аможенная процедура таможенного транзита - таможенная процедура,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w:t>
      </w:r>
    </w:p>
    <w:p w14:paraId="1A29800D" w14:textId="06D578E0" w:rsidR="0048774C" w:rsidRPr="00BD23BE" w:rsidRDefault="0048774C" w:rsidP="00BD23BE">
      <w:pPr>
        <w:autoSpaceDE w:val="0"/>
        <w:autoSpaceDN w:val="0"/>
        <w:adjustRightInd w:val="0"/>
        <w:ind w:firstLine="540"/>
        <w:jc w:val="both"/>
        <w:rPr>
          <w:sz w:val="28"/>
          <w:szCs w:val="28"/>
        </w:rPr>
      </w:pPr>
      <w:r w:rsidRPr="00BD23BE">
        <w:rPr>
          <w:sz w:val="28"/>
          <w:szCs w:val="28"/>
        </w:rPr>
        <w:t>Таможенная процедура таможенного транзита применяется:</w:t>
      </w:r>
    </w:p>
    <w:p w14:paraId="45223DA7" w14:textId="77777777" w:rsidR="0048774C" w:rsidRPr="00BD23BE" w:rsidRDefault="0048774C" w:rsidP="00BD23BE">
      <w:pPr>
        <w:autoSpaceDE w:val="0"/>
        <w:autoSpaceDN w:val="0"/>
        <w:adjustRightInd w:val="0"/>
        <w:ind w:firstLine="540"/>
        <w:jc w:val="both"/>
        <w:rPr>
          <w:sz w:val="28"/>
          <w:szCs w:val="28"/>
        </w:rPr>
      </w:pPr>
      <w:r w:rsidRPr="00BD23BE">
        <w:rPr>
          <w:sz w:val="28"/>
          <w:szCs w:val="28"/>
        </w:rPr>
        <w:t>1) для перевозки (транспортировки) по таможенной территории Союза иностранных товаров, не помещенных под иные таможенные процедуры, а также товаров Союза:</w:t>
      </w:r>
    </w:p>
    <w:p w14:paraId="4DA3FBB8" w14:textId="468ACF97" w:rsidR="0048774C" w:rsidRPr="00BD23BE" w:rsidRDefault="00BD23BE" w:rsidP="00BD23BE">
      <w:pPr>
        <w:autoSpaceDE w:val="0"/>
        <w:autoSpaceDN w:val="0"/>
        <w:adjustRightInd w:val="0"/>
        <w:ind w:firstLine="540"/>
        <w:jc w:val="both"/>
        <w:rPr>
          <w:sz w:val="28"/>
          <w:szCs w:val="28"/>
        </w:rPr>
      </w:pPr>
      <w:r w:rsidRPr="00BD23BE">
        <w:rPr>
          <w:sz w:val="28"/>
          <w:szCs w:val="28"/>
        </w:rPr>
        <w:t xml:space="preserve">- </w:t>
      </w:r>
      <w:r w:rsidR="0048774C" w:rsidRPr="00BD23BE">
        <w:rPr>
          <w:sz w:val="28"/>
          <w:szCs w:val="28"/>
        </w:rPr>
        <w:t>помещенных под таможенную процедуру экспорта в случаях, определяемых Комиссией;</w:t>
      </w:r>
    </w:p>
    <w:p w14:paraId="26FCA9B2" w14:textId="564A9FC2" w:rsidR="0048774C" w:rsidRPr="00BD23BE" w:rsidRDefault="00BD23BE" w:rsidP="00BD23BE">
      <w:pPr>
        <w:autoSpaceDE w:val="0"/>
        <w:autoSpaceDN w:val="0"/>
        <w:adjustRightInd w:val="0"/>
        <w:ind w:firstLine="540"/>
        <w:jc w:val="both"/>
        <w:rPr>
          <w:sz w:val="28"/>
          <w:szCs w:val="28"/>
        </w:rPr>
      </w:pPr>
      <w:r w:rsidRPr="00BD23BE">
        <w:rPr>
          <w:sz w:val="28"/>
          <w:szCs w:val="28"/>
        </w:rPr>
        <w:t xml:space="preserve">- </w:t>
      </w:r>
      <w:r w:rsidR="0048774C" w:rsidRPr="00BD23BE">
        <w:rPr>
          <w:sz w:val="28"/>
          <w:szCs w:val="28"/>
        </w:rPr>
        <w:t>помещенных под таможенную процедуру свободной таможенной зоны, перевозимых с одной территории СЭЗ на другую территорию СЭЗ;</w:t>
      </w:r>
    </w:p>
    <w:p w14:paraId="4606E210" w14:textId="09624DFC" w:rsidR="0048774C" w:rsidRPr="00BD23BE" w:rsidRDefault="0048774C" w:rsidP="00BD23BE">
      <w:pPr>
        <w:autoSpaceDE w:val="0"/>
        <w:autoSpaceDN w:val="0"/>
        <w:adjustRightInd w:val="0"/>
        <w:ind w:firstLine="540"/>
        <w:jc w:val="both"/>
        <w:rPr>
          <w:sz w:val="28"/>
          <w:szCs w:val="28"/>
        </w:rPr>
      </w:pPr>
      <w:r w:rsidRPr="00BD23BE">
        <w:rPr>
          <w:sz w:val="28"/>
          <w:szCs w:val="28"/>
        </w:rPr>
        <w:t>2) для перевозки (транспортировки)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товаров Союза.</w:t>
      </w:r>
    </w:p>
    <w:p w14:paraId="111B55D5" w14:textId="1B56775E" w:rsidR="0048774C" w:rsidRPr="00BD23BE" w:rsidRDefault="0048774C" w:rsidP="00BD23BE">
      <w:pPr>
        <w:autoSpaceDE w:val="0"/>
        <w:autoSpaceDN w:val="0"/>
        <w:adjustRightInd w:val="0"/>
        <w:ind w:firstLine="540"/>
        <w:jc w:val="both"/>
        <w:rPr>
          <w:sz w:val="28"/>
          <w:szCs w:val="28"/>
        </w:rPr>
      </w:pPr>
      <w:r w:rsidRPr="00BD23BE">
        <w:rPr>
          <w:sz w:val="28"/>
          <w:szCs w:val="28"/>
        </w:rPr>
        <w:t>Таможенная процедура таможенного транзита применяется при перевозке (транспортировке) товаров:</w:t>
      </w:r>
    </w:p>
    <w:p w14:paraId="60B893EF" w14:textId="77777777" w:rsidR="0048774C" w:rsidRPr="00BD23BE" w:rsidRDefault="0048774C" w:rsidP="00BD23BE">
      <w:pPr>
        <w:autoSpaceDE w:val="0"/>
        <w:autoSpaceDN w:val="0"/>
        <w:adjustRightInd w:val="0"/>
        <w:ind w:firstLine="540"/>
        <w:jc w:val="both"/>
        <w:rPr>
          <w:sz w:val="28"/>
          <w:szCs w:val="28"/>
        </w:rPr>
      </w:pPr>
      <w:r w:rsidRPr="00BD23BE">
        <w:rPr>
          <w:sz w:val="28"/>
          <w:szCs w:val="28"/>
        </w:rPr>
        <w:t>1) от таможенного органа в месте прибытия до таможенного органа в месте убытия;</w:t>
      </w:r>
    </w:p>
    <w:p w14:paraId="24102393" w14:textId="77777777" w:rsidR="0048774C" w:rsidRPr="00BD23BE" w:rsidRDefault="0048774C" w:rsidP="00BD23BE">
      <w:pPr>
        <w:autoSpaceDE w:val="0"/>
        <w:autoSpaceDN w:val="0"/>
        <w:adjustRightInd w:val="0"/>
        <w:ind w:firstLine="540"/>
        <w:jc w:val="both"/>
        <w:rPr>
          <w:sz w:val="28"/>
          <w:szCs w:val="28"/>
        </w:rPr>
      </w:pPr>
      <w:r w:rsidRPr="00BD23BE">
        <w:rPr>
          <w:sz w:val="28"/>
          <w:szCs w:val="28"/>
        </w:rPr>
        <w:t>2) от таможенного органа в месте прибытия до внутреннего таможенного органа;</w:t>
      </w:r>
    </w:p>
    <w:p w14:paraId="1A317986" w14:textId="77777777" w:rsidR="0048774C" w:rsidRPr="00BD23BE" w:rsidRDefault="0048774C" w:rsidP="00BD23BE">
      <w:pPr>
        <w:autoSpaceDE w:val="0"/>
        <w:autoSpaceDN w:val="0"/>
        <w:adjustRightInd w:val="0"/>
        <w:ind w:firstLine="540"/>
        <w:jc w:val="both"/>
        <w:rPr>
          <w:sz w:val="28"/>
          <w:szCs w:val="28"/>
        </w:rPr>
      </w:pPr>
      <w:r w:rsidRPr="00BD23BE">
        <w:rPr>
          <w:sz w:val="28"/>
          <w:szCs w:val="28"/>
        </w:rPr>
        <w:t>3) от внутреннего таможенного органа до таможенного органа в месте убытия;</w:t>
      </w:r>
    </w:p>
    <w:p w14:paraId="770FC937" w14:textId="77777777" w:rsidR="0048774C" w:rsidRPr="00BD23BE" w:rsidRDefault="0048774C" w:rsidP="00BD23BE">
      <w:pPr>
        <w:autoSpaceDE w:val="0"/>
        <w:autoSpaceDN w:val="0"/>
        <w:adjustRightInd w:val="0"/>
        <w:ind w:firstLine="540"/>
        <w:jc w:val="both"/>
        <w:rPr>
          <w:sz w:val="28"/>
          <w:szCs w:val="28"/>
        </w:rPr>
      </w:pPr>
      <w:r w:rsidRPr="00BD23BE">
        <w:rPr>
          <w:sz w:val="28"/>
          <w:szCs w:val="28"/>
        </w:rPr>
        <w:t>4) от одного внутреннего таможенного органа до другого внутреннего таможенного органа;</w:t>
      </w:r>
    </w:p>
    <w:p w14:paraId="33A74462" w14:textId="77777777" w:rsidR="0048774C" w:rsidRPr="00BD23BE" w:rsidRDefault="0048774C" w:rsidP="00BD23BE">
      <w:pPr>
        <w:autoSpaceDE w:val="0"/>
        <w:autoSpaceDN w:val="0"/>
        <w:adjustRightInd w:val="0"/>
        <w:ind w:firstLine="540"/>
        <w:jc w:val="both"/>
        <w:rPr>
          <w:sz w:val="28"/>
          <w:szCs w:val="28"/>
        </w:rPr>
      </w:pPr>
      <w:r w:rsidRPr="00BD23BE">
        <w:rPr>
          <w:sz w:val="28"/>
          <w:szCs w:val="28"/>
        </w:rPr>
        <w:t>5) между таможенными органами через территории государств, не являющихся членами Союза, и (или) морем.</w:t>
      </w:r>
    </w:p>
    <w:p w14:paraId="25F2BCE8" w14:textId="77777777" w:rsidR="00E327CE" w:rsidRPr="00C54780" w:rsidRDefault="00E327CE" w:rsidP="00BD23BE">
      <w:pPr>
        <w:autoSpaceDE w:val="0"/>
        <w:autoSpaceDN w:val="0"/>
        <w:adjustRightInd w:val="0"/>
        <w:ind w:firstLine="709"/>
        <w:jc w:val="both"/>
        <w:rPr>
          <w:b/>
          <w:sz w:val="28"/>
          <w:szCs w:val="28"/>
        </w:rPr>
      </w:pPr>
      <w:r w:rsidRPr="00BD23BE">
        <w:rPr>
          <w:sz w:val="28"/>
          <w:szCs w:val="28"/>
        </w:rPr>
        <w:t xml:space="preserve">Также </w:t>
      </w:r>
      <w:r w:rsidRPr="00BD23BE">
        <w:rPr>
          <w:b/>
          <w:sz w:val="28"/>
          <w:szCs w:val="28"/>
        </w:rPr>
        <w:t>предусмотрена возможность по решению владельца иностранных товаров</w:t>
      </w:r>
      <w:r w:rsidRPr="00BD23BE">
        <w:rPr>
          <w:sz w:val="28"/>
          <w:szCs w:val="28"/>
        </w:rPr>
        <w:t xml:space="preserve"> </w:t>
      </w:r>
      <w:r w:rsidRPr="00BD23BE">
        <w:rPr>
          <w:b/>
          <w:sz w:val="28"/>
          <w:szCs w:val="28"/>
        </w:rPr>
        <w:t>с помощью таможенной процедуры таможенного транзита осуществлять перевозку товаров из мест прибытия до внутренних таможенных</w:t>
      </w:r>
      <w:r w:rsidRPr="00C54780">
        <w:rPr>
          <w:b/>
          <w:sz w:val="28"/>
          <w:szCs w:val="28"/>
        </w:rPr>
        <w:t xml:space="preserve"> органов.</w:t>
      </w:r>
    </w:p>
    <w:p w14:paraId="6C45D9A2" w14:textId="0D924063" w:rsidR="00E327CE" w:rsidRPr="00340D7A" w:rsidRDefault="00E327CE" w:rsidP="00A92D87">
      <w:pPr>
        <w:autoSpaceDE w:val="0"/>
        <w:autoSpaceDN w:val="0"/>
        <w:adjustRightInd w:val="0"/>
        <w:spacing w:line="20" w:lineRule="atLeast"/>
        <w:ind w:firstLine="709"/>
        <w:jc w:val="both"/>
        <w:rPr>
          <w:sz w:val="28"/>
          <w:szCs w:val="28"/>
        </w:rPr>
      </w:pPr>
      <w:r>
        <w:rPr>
          <w:sz w:val="28"/>
          <w:szCs w:val="28"/>
        </w:rPr>
        <w:t xml:space="preserve">Кроме того, </w:t>
      </w:r>
      <w:r w:rsidR="00BD23BE">
        <w:rPr>
          <w:sz w:val="28"/>
          <w:szCs w:val="28"/>
        </w:rPr>
        <w:t>Кодекс Союза</w:t>
      </w:r>
      <w:r>
        <w:rPr>
          <w:sz w:val="28"/>
          <w:szCs w:val="28"/>
        </w:rPr>
        <w:t xml:space="preserve"> предусматривает</w:t>
      </w:r>
      <w:r w:rsidRPr="00027B9E">
        <w:rPr>
          <w:sz w:val="28"/>
          <w:szCs w:val="28"/>
        </w:rPr>
        <w:t xml:space="preserve"> для владельцев иностранных товаров, а также иных заинтересованных л</w:t>
      </w:r>
      <w:r>
        <w:rPr>
          <w:sz w:val="28"/>
          <w:szCs w:val="28"/>
        </w:rPr>
        <w:t xml:space="preserve">иц в отношении данных товаров </w:t>
      </w:r>
      <w:r w:rsidRPr="00027B9E">
        <w:rPr>
          <w:sz w:val="28"/>
          <w:szCs w:val="28"/>
        </w:rPr>
        <w:t>при их ввозе на территори</w:t>
      </w:r>
      <w:r>
        <w:rPr>
          <w:sz w:val="28"/>
          <w:szCs w:val="28"/>
        </w:rPr>
        <w:t>ю Российской Федерации</w:t>
      </w:r>
      <w:r w:rsidRPr="001E331B">
        <w:rPr>
          <w:color w:val="000000" w:themeColor="text1"/>
          <w:sz w:val="28"/>
          <w:szCs w:val="28"/>
        </w:rPr>
        <w:t>, возможность выбора</w:t>
      </w:r>
      <w:r w:rsidRPr="00027B9E">
        <w:rPr>
          <w:sz w:val="28"/>
          <w:szCs w:val="28"/>
        </w:rPr>
        <w:t xml:space="preserve"> владельца </w:t>
      </w:r>
      <w:r w:rsidRPr="007168AA">
        <w:rPr>
          <w:color w:val="000000" w:themeColor="text1"/>
          <w:sz w:val="28"/>
          <w:szCs w:val="28"/>
        </w:rPr>
        <w:t>СВХ</w:t>
      </w:r>
      <w:r w:rsidRPr="00027B9E">
        <w:rPr>
          <w:sz w:val="28"/>
          <w:szCs w:val="28"/>
        </w:rPr>
        <w:t>, услугами которого он хочет воспользоваться.</w:t>
      </w:r>
    </w:p>
    <w:p w14:paraId="4EBB1562" w14:textId="77777777" w:rsidR="00E327CE" w:rsidRPr="00846CFC" w:rsidRDefault="00E327CE" w:rsidP="00846CFC">
      <w:pPr>
        <w:autoSpaceDE w:val="0"/>
        <w:autoSpaceDN w:val="0"/>
        <w:adjustRightInd w:val="0"/>
        <w:ind w:firstLine="709"/>
        <w:jc w:val="both"/>
        <w:rPr>
          <w:color w:val="000000" w:themeColor="text1"/>
          <w:sz w:val="28"/>
          <w:szCs w:val="28"/>
        </w:rPr>
      </w:pPr>
      <w:r>
        <w:rPr>
          <w:sz w:val="28"/>
          <w:szCs w:val="28"/>
        </w:rPr>
        <w:t>В этой связи</w:t>
      </w:r>
      <w:r w:rsidRPr="00027B9E">
        <w:rPr>
          <w:sz w:val="28"/>
          <w:szCs w:val="28"/>
        </w:rPr>
        <w:t xml:space="preserve">, по желанию владельца </w:t>
      </w:r>
      <w:r w:rsidRPr="007168AA">
        <w:rPr>
          <w:color w:val="000000" w:themeColor="text1"/>
          <w:sz w:val="28"/>
          <w:szCs w:val="28"/>
        </w:rPr>
        <w:t xml:space="preserve">иностранных товаров временное хранение товаров может осуществляться на любом СВХ открытого типа, </w:t>
      </w:r>
      <w:r w:rsidRPr="00846CFC">
        <w:rPr>
          <w:color w:val="000000" w:themeColor="text1"/>
          <w:sz w:val="28"/>
          <w:szCs w:val="28"/>
        </w:rPr>
        <w:t>включенного в реестр, с которым заключен договор на оказание соответствующих услуг.</w:t>
      </w:r>
    </w:p>
    <w:p w14:paraId="292E8537" w14:textId="6F481269" w:rsidR="001E5DB0" w:rsidRPr="00846CFC" w:rsidRDefault="00E327CE" w:rsidP="00846CFC">
      <w:pPr>
        <w:autoSpaceDE w:val="0"/>
        <w:autoSpaceDN w:val="0"/>
        <w:adjustRightInd w:val="0"/>
        <w:ind w:firstLine="540"/>
        <w:jc w:val="both"/>
        <w:rPr>
          <w:sz w:val="28"/>
          <w:szCs w:val="28"/>
        </w:rPr>
      </w:pPr>
      <w:r w:rsidRPr="00846CFC">
        <w:rPr>
          <w:color w:val="000000" w:themeColor="text1"/>
          <w:sz w:val="28"/>
          <w:szCs w:val="28"/>
        </w:rPr>
        <w:t xml:space="preserve">Важно отметить, что в соответствии со статьей </w:t>
      </w:r>
      <w:r w:rsidR="00846CFC" w:rsidRPr="00846CFC">
        <w:rPr>
          <w:color w:val="000000" w:themeColor="text1"/>
          <w:sz w:val="28"/>
          <w:szCs w:val="28"/>
        </w:rPr>
        <w:t>449 Кодекса Союза</w:t>
      </w:r>
      <w:r w:rsidRPr="00846CFC">
        <w:rPr>
          <w:color w:val="000000" w:themeColor="text1"/>
          <w:sz w:val="28"/>
          <w:szCs w:val="28"/>
        </w:rPr>
        <w:t xml:space="preserve"> </w:t>
      </w:r>
      <w:r w:rsidR="00846CFC" w:rsidRPr="00846CFC">
        <w:rPr>
          <w:color w:val="000000" w:themeColor="text1"/>
          <w:sz w:val="28"/>
          <w:szCs w:val="28"/>
        </w:rPr>
        <w:t>д</w:t>
      </w:r>
      <w:r w:rsidR="001E5DB0" w:rsidRPr="00846CFC">
        <w:rPr>
          <w:sz w:val="28"/>
          <w:szCs w:val="28"/>
        </w:rPr>
        <w:t>о вступления в силу международного договора в рамках Союза, допускающего подачу декларации на товары любому таможенному органу на таможенной территории Союза, декларация на товары подается:</w:t>
      </w:r>
    </w:p>
    <w:p w14:paraId="78B963A5" w14:textId="22259288" w:rsidR="001E5DB0" w:rsidRPr="00846CFC" w:rsidRDefault="001E5DB0" w:rsidP="00846CFC">
      <w:pPr>
        <w:autoSpaceDE w:val="0"/>
        <w:autoSpaceDN w:val="0"/>
        <w:adjustRightInd w:val="0"/>
        <w:ind w:firstLine="540"/>
        <w:jc w:val="both"/>
        <w:rPr>
          <w:sz w:val="28"/>
          <w:szCs w:val="28"/>
        </w:rPr>
      </w:pPr>
      <w:r w:rsidRPr="00846CFC">
        <w:rPr>
          <w:sz w:val="28"/>
          <w:szCs w:val="28"/>
        </w:rPr>
        <w:t>1) таможенному органу государства-члена, в соответствии с законодательством которого создано, зарегистрировано либо на территории которого постоянно проживает лицо, являющееся декларантом товаров, если декларантом товаров выступает лицо государства-члена, а также иностранное лицо;</w:t>
      </w:r>
    </w:p>
    <w:p w14:paraId="7B30BAE2" w14:textId="16731EBC" w:rsidR="001E5DB0" w:rsidRPr="00846CFC" w:rsidRDefault="001E5DB0" w:rsidP="00846CFC">
      <w:pPr>
        <w:autoSpaceDE w:val="0"/>
        <w:autoSpaceDN w:val="0"/>
        <w:adjustRightInd w:val="0"/>
        <w:ind w:firstLine="540"/>
        <w:jc w:val="both"/>
        <w:rPr>
          <w:sz w:val="28"/>
          <w:szCs w:val="28"/>
        </w:rPr>
      </w:pPr>
      <w:r w:rsidRPr="00846CFC">
        <w:rPr>
          <w:sz w:val="28"/>
          <w:szCs w:val="28"/>
        </w:rPr>
        <w:t>2) таможенному органу государства-члена, на территории которого находятся декларируемые товары, если декларантом товаров выступает иностранное лицо;</w:t>
      </w:r>
    </w:p>
    <w:p w14:paraId="177E5961" w14:textId="7810B1ED" w:rsidR="001E5DB0" w:rsidRPr="00846CFC" w:rsidRDefault="001E5DB0" w:rsidP="00846CFC">
      <w:pPr>
        <w:autoSpaceDE w:val="0"/>
        <w:autoSpaceDN w:val="0"/>
        <w:adjustRightInd w:val="0"/>
        <w:ind w:firstLine="540"/>
        <w:jc w:val="both"/>
        <w:rPr>
          <w:sz w:val="28"/>
          <w:szCs w:val="28"/>
        </w:rPr>
      </w:pPr>
      <w:r w:rsidRPr="00846CFC">
        <w:rPr>
          <w:sz w:val="28"/>
          <w:szCs w:val="28"/>
        </w:rPr>
        <w:t xml:space="preserve">3) таможенному органу государства-члена, на территории которого находятся декларируемые товары и лицо, </w:t>
      </w:r>
      <w:r w:rsidR="00846CFC" w:rsidRPr="00846CFC">
        <w:rPr>
          <w:sz w:val="28"/>
          <w:szCs w:val="28"/>
        </w:rPr>
        <w:t xml:space="preserve">выступающее </w:t>
      </w:r>
      <w:r w:rsidRPr="00846CFC">
        <w:rPr>
          <w:sz w:val="28"/>
          <w:szCs w:val="28"/>
        </w:rPr>
        <w:t>декла</w:t>
      </w:r>
      <w:r w:rsidR="00846CFC" w:rsidRPr="00846CFC">
        <w:rPr>
          <w:sz w:val="28"/>
          <w:szCs w:val="28"/>
        </w:rPr>
        <w:t>рантом товаров</w:t>
      </w:r>
      <w:r w:rsidRPr="00846CFC">
        <w:rPr>
          <w:sz w:val="28"/>
          <w:szCs w:val="28"/>
        </w:rPr>
        <w:t>.</w:t>
      </w:r>
    </w:p>
    <w:p w14:paraId="31630B12" w14:textId="5F08D6A7" w:rsidR="00A71FA8" w:rsidRDefault="00E327CE" w:rsidP="006B4DA2">
      <w:pPr>
        <w:spacing w:line="20" w:lineRule="atLeast"/>
        <w:ind w:firstLine="851"/>
        <w:jc w:val="both"/>
        <w:rPr>
          <w:b/>
          <w:color w:val="000000" w:themeColor="text1"/>
          <w:sz w:val="28"/>
          <w:szCs w:val="28"/>
        </w:rPr>
      </w:pPr>
      <w:r w:rsidRPr="006C277C">
        <w:rPr>
          <w:b/>
          <w:color w:val="000000" w:themeColor="text1"/>
          <w:sz w:val="28"/>
          <w:szCs w:val="28"/>
        </w:rPr>
        <w:t>На основании вышеизложенного, в связи с действующим на сегодняшний день таможенным законодательством географическими границами рынков услуг владельцев СВХ</w:t>
      </w:r>
      <w:r w:rsidR="005C159F" w:rsidRPr="006C277C">
        <w:rPr>
          <w:b/>
          <w:color w:val="000000" w:themeColor="text1"/>
          <w:sz w:val="28"/>
          <w:szCs w:val="28"/>
        </w:rPr>
        <w:t xml:space="preserve"> </w:t>
      </w:r>
      <w:r w:rsidRPr="006C277C">
        <w:rPr>
          <w:b/>
          <w:color w:val="000000" w:themeColor="text1"/>
          <w:sz w:val="28"/>
          <w:szCs w:val="28"/>
        </w:rPr>
        <w:t>является территория Российской Федерации</w:t>
      </w:r>
      <w:r w:rsidR="00CC3988">
        <w:rPr>
          <w:b/>
          <w:color w:val="000000" w:themeColor="text1"/>
          <w:sz w:val="28"/>
          <w:szCs w:val="28"/>
        </w:rPr>
        <w:t>.</w:t>
      </w:r>
    </w:p>
    <w:p w14:paraId="711F9EBB" w14:textId="77777777" w:rsidR="00CC3988" w:rsidRPr="00EC40E6" w:rsidRDefault="00CC3988" w:rsidP="006B4DA2">
      <w:pPr>
        <w:spacing w:line="20" w:lineRule="atLeast"/>
        <w:ind w:firstLine="851"/>
        <w:jc w:val="both"/>
        <w:rPr>
          <w:b/>
          <w:sz w:val="28"/>
          <w:szCs w:val="28"/>
        </w:rPr>
      </w:pPr>
    </w:p>
    <w:p w14:paraId="6B587E15" w14:textId="77777777" w:rsidR="00E327CE" w:rsidRPr="00C70B68" w:rsidRDefault="00E327CE" w:rsidP="00A92D87">
      <w:pPr>
        <w:pStyle w:val="ConsPlusNonformat"/>
        <w:widowControl/>
        <w:spacing w:line="20" w:lineRule="atLeast"/>
        <w:jc w:val="center"/>
        <w:outlineLvl w:val="0"/>
        <w:rPr>
          <w:rFonts w:ascii="Times New Roman" w:hAnsi="Times New Roman" w:cs="Times New Roman"/>
          <w:b/>
          <w:sz w:val="28"/>
          <w:szCs w:val="28"/>
        </w:rPr>
      </w:pPr>
      <w:bookmarkStart w:id="5" w:name="_Toc388459821"/>
      <w:r>
        <w:rPr>
          <w:rFonts w:ascii="Times New Roman" w:hAnsi="Times New Roman" w:cs="Times New Roman"/>
          <w:b/>
          <w:sz w:val="28"/>
          <w:szCs w:val="28"/>
          <w:lang w:val="en-US"/>
        </w:rPr>
        <w:t>V</w:t>
      </w:r>
      <w:r w:rsidRPr="00213AC9">
        <w:rPr>
          <w:rFonts w:ascii="Times New Roman" w:hAnsi="Times New Roman" w:cs="Times New Roman"/>
          <w:b/>
          <w:sz w:val="28"/>
          <w:szCs w:val="28"/>
        </w:rPr>
        <w:t xml:space="preserve">. Определение состава хозяйствующих субъектов, действующих на </w:t>
      </w:r>
      <w:r>
        <w:rPr>
          <w:rFonts w:ascii="Times New Roman" w:hAnsi="Times New Roman" w:cs="Times New Roman"/>
          <w:b/>
          <w:sz w:val="28"/>
          <w:szCs w:val="28"/>
        </w:rPr>
        <w:t xml:space="preserve">товарном </w:t>
      </w:r>
      <w:r w:rsidRPr="00213AC9">
        <w:rPr>
          <w:rFonts w:ascii="Times New Roman" w:hAnsi="Times New Roman" w:cs="Times New Roman"/>
          <w:b/>
          <w:sz w:val="28"/>
          <w:szCs w:val="28"/>
        </w:rPr>
        <w:t>рынке</w:t>
      </w:r>
      <w:bookmarkEnd w:id="5"/>
    </w:p>
    <w:p w14:paraId="3CE9DD72" w14:textId="77777777" w:rsidR="00E327CE" w:rsidRPr="000B4756" w:rsidRDefault="00E327CE" w:rsidP="00A92D87">
      <w:pPr>
        <w:pStyle w:val="ConsPlusNonformat"/>
        <w:widowControl/>
        <w:spacing w:line="20" w:lineRule="atLeast"/>
        <w:jc w:val="both"/>
        <w:rPr>
          <w:rFonts w:ascii="Times New Roman" w:hAnsi="Times New Roman" w:cs="Times New Roman"/>
          <w:b/>
          <w:sz w:val="28"/>
          <w:szCs w:val="28"/>
        </w:rPr>
      </w:pPr>
    </w:p>
    <w:p w14:paraId="72E134F4" w14:textId="148FEE49" w:rsidR="00E327CE" w:rsidRPr="00B06193" w:rsidRDefault="00E327CE" w:rsidP="00A92D87">
      <w:pPr>
        <w:suppressAutoHyphens/>
        <w:autoSpaceDE w:val="0"/>
        <w:autoSpaceDN w:val="0"/>
        <w:adjustRightInd w:val="0"/>
        <w:spacing w:line="20" w:lineRule="atLeast"/>
        <w:ind w:firstLine="709"/>
        <w:jc w:val="both"/>
        <w:rPr>
          <w:rFonts w:ascii="Times New Roman CYR" w:hAnsi="Times New Roman CYR" w:cs="Times New Roman CYR"/>
          <w:sz w:val="28"/>
          <w:szCs w:val="28"/>
        </w:rPr>
      </w:pPr>
      <w:r w:rsidRPr="00922C23">
        <w:rPr>
          <w:sz w:val="28"/>
          <w:szCs w:val="28"/>
        </w:rPr>
        <w:t xml:space="preserve">В соответствии с </w:t>
      </w:r>
      <w:r w:rsidR="00757E6C">
        <w:rPr>
          <w:sz w:val="28"/>
          <w:szCs w:val="28"/>
        </w:rPr>
        <w:t xml:space="preserve">предоставленными </w:t>
      </w:r>
      <w:r w:rsidRPr="00922C23">
        <w:rPr>
          <w:sz w:val="28"/>
          <w:szCs w:val="28"/>
        </w:rPr>
        <w:t>данными</w:t>
      </w:r>
      <w:r>
        <w:rPr>
          <w:sz w:val="28"/>
          <w:szCs w:val="28"/>
        </w:rPr>
        <w:t xml:space="preserve"> </w:t>
      </w:r>
      <w:r w:rsidRPr="007247AE">
        <w:rPr>
          <w:sz w:val="28"/>
          <w:szCs w:val="28"/>
        </w:rPr>
        <w:t xml:space="preserve">ФТС России </w:t>
      </w:r>
      <w:r w:rsidRPr="00922C23">
        <w:rPr>
          <w:sz w:val="28"/>
          <w:szCs w:val="28"/>
        </w:rPr>
        <w:t>продавцами</w:t>
      </w:r>
      <w:r w:rsidRPr="00C464EB">
        <w:rPr>
          <w:sz w:val="28"/>
          <w:szCs w:val="28"/>
        </w:rPr>
        <w:t xml:space="preserve"> на данном рынке являются юридические лица, имеющие </w:t>
      </w:r>
      <w:r>
        <w:rPr>
          <w:sz w:val="28"/>
          <w:szCs w:val="28"/>
        </w:rPr>
        <w:t xml:space="preserve">свидетельство о включении </w:t>
      </w:r>
      <w:r w:rsidRPr="00C464EB">
        <w:rPr>
          <w:sz w:val="28"/>
          <w:szCs w:val="28"/>
        </w:rPr>
        <w:t xml:space="preserve">в </w:t>
      </w:r>
      <w:r w:rsidRPr="00B06193">
        <w:rPr>
          <w:color w:val="000000" w:themeColor="text1"/>
          <w:sz w:val="28"/>
          <w:szCs w:val="28"/>
        </w:rPr>
        <w:t>р</w:t>
      </w:r>
      <w:r w:rsidRPr="00B06193">
        <w:rPr>
          <w:sz w:val="28"/>
          <w:szCs w:val="28"/>
        </w:rPr>
        <w:t xml:space="preserve">еестр </w:t>
      </w:r>
      <w:r w:rsidRPr="00B06193">
        <w:rPr>
          <w:color w:val="000000" w:themeColor="text1"/>
          <w:sz w:val="28"/>
          <w:szCs w:val="28"/>
        </w:rPr>
        <w:t>СВХ</w:t>
      </w:r>
      <w:r w:rsidRPr="00B06193">
        <w:rPr>
          <w:sz w:val="28"/>
          <w:szCs w:val="28"/>
        </w:rPr>
        <w:t>, покупателями – являются физические и юридические лица.</w:t>
      </w:r>
    </w:p>
    <w:p w14:paraId="44B96CFA" w14:textId="2943333A" w:rsidR="00E327CE" w:rsidRPr="00B06193" w:rsidRDefault="00E327CE" w:rsidP="00A92D87">
      <w:pPr>
        <w:suppressAutoHyphens/>
        <w:autoSpaceDE w:val="0"/>
        <w:autoSpaceDN w:val="0"/>
        <w:adjustRightInd w:val="0"/>
        <w:spacing w:line="20" w:lineRule="atLeast"/>
        <w:ind w:firstLine="709"/>
        <w:jc w:val="both"/>
        <w:rPr>
          <w:rFonts w:ascii="Times New Roman CYR" w:hAnsi="Times New Roman CYR" w:cs="Times New Roman CYR"/>
          <w:sz w:val="28"/>
          <w:szCs w:val="28"/>
        </w:rPr>
      </w:pPr>
      <w:r w:rsidRPr="00B06193">
        <w:rPr>
          <w:rFonts w:ascii="Times New Roman CYR" w:hAnsi="Times New Roman CYR" w:cs="Times New Roman CYR"/>
          <w:sz w:val="28"/>
          <w:szCs w:val="28"/>
        </w:rPr>
        <w:t>Перечень хозяйст</w:t>
      </w:r>
      <w:r w:rsidR="00217AFE" w:rsidRPr="00B06193">
        <w:rPr>
          <w:rFonts w:ascii="Times New Roman CYR" w:hAnsi="Times New Roman CYR" w:cs="Times New Roman CYR"/>
          <w:sz w:val="28"/>
          <w:szCs w:val="28"/>
        </w:rPr>
        <w:t>вующих субъектов, действовавших на исследуемом рынке в 2015</w:t>
      </w:r>
      <w:r w:rsidR="00B06193" w:rsidRPr="00B06193">
        <w:rPr>
          <w:rFonts w:ascii="Times New Roman CYR" w:hAnsi="Times New Roman CYR" w:cs="Times New Roman CYR"/>
          <w:sz w:val="28"/>
          <w:szCs w:val="28"/>
        </w:rPr>
        <w:t xml:space="preserve"> году</w:t>
      </w:r>
      <w:r w:rsidRPr="00B06193">
        <w:rPr>
          <w:rFonts w:ascii="Times New Roman CYR" w:hAnsi="Times New Roman CYR" w:cs="Times New Roman CYR"/>
          <w:sz w:val="28"/>
          <w:szCs w:val="28"/>
        </w:rPr>
        <w:t>,</w:t>
      </w:r>
      <w:r w:rsidR="00B06193" w:rsidRPr="00B06193">
        <w:rPr>
          <w:rFonts w:ascii="Times New Roman CYR" w:hAnsi="Times New Roman CYR" w:cs="Times New Roman CYR"/>
          <w:sz w:val="28"/>
          <w:szCs w:val="28"/>
        </w:rPr>
        <w:t xml:space="preserve"> с данными по долям</w:t>
      </w:r>
      <w:r w:rsidRPr="00B06193">
        <w:rPr>
          <w:rFonts w:ascii="Times New Roman CYR" w:hAnsi="Times New Roman CYR" w:cs="Times New Roman CYR"/>
          <w:sz w:val="28"/>
          <w:szCs w:val="28"/>
        </w:rPr>
        <w:t xml:space="preserve"> приведен в приложении №</w:t>
      </w:r>
      <w:r w:rsidRPr="00B06193">
        <w:rPr>
          <w:sz w:val="28"/>
          <w:szCs w:val="28"/>
        </w:rPr>
        <w:t xml:space="preserve"> 1 </w:t>
      </w:r>
      <w:r w:rsidRPr="00B06193">
        <w:rPr>
          <w:rFonts w:ascii="Times New Roman CYR" w:hAnsi="Times New Roman CYR" w:cs="Times New Roman CYR"/>
          <w:sz w:val="28"/>
          <w:szCs w:val="28"/>
        </w:rPr>
        <w:t>к настоящему Аналитическому отчету.</w:t>
      </w:r>
    </w:p>
    <w:p w14:paraId="33AB1C19" w14:textId="3550C29A" w:rsidR="00B06193" w:rsidRDefault="00B06193" w:rsidP="00A92D87">
      <w:pPr>
        <w:suppressAutoHyphens/>
        <w:autoSpaceDE w:val="0"/>
        <w:autoSpaceDN w:val="0"/>
        <w:adjustRightInd w:val="0"/>
        <w:spacing w:line="20" w:lineRule="atLeast"/>
        <w:ind w:firstLine="709"/>
        <w:jc w:val="both"/>
        <w:rPr>
          <w:rFonts w:ascii="Times New Roman CYR" w:hAnsi="Times New Roman CYR" w:cs="Times New Roman CYR"/>
          <w:sz w:val="28"/>
          <w:szCs w:val="28"/>
        </w:rPr>
      </w:pPr>
      <w:r w:rsidRPr="00B06193">
        <w:rPr>
          <w:rFonts w:ascii="Times New Roman CYR" w:hAnsi="Times New Roman CYR" w:cs="Times New Roman CYR"/>
          <w:sz w:val="28"/>
          <w:szCs w:val="28"/>
        </w:rPr>
        <w:t xml:space="preserve">Перечень хозяйствующих субъектов, действовавших на исследуемом рынке в 2016 году, с данными по долям приведен в приложении № </w:t>
      </w:r>
      <w:r>
        <w:rPr>
          <w:rFonts w:ascii="Times New Roman CYR" w:hAnsi="Times New Roman CYR" w:cs="Times New Roman CYR"/>
          <w:sz w:val="28"/>
          <w:szCs w:val="28"/>
        </w:rPr>
        <w:t>2</w:t>
      </w:r>
      <w:r w:rsidRPr="00B06193">
        <w:rPr>
          <w:rFonts w:ascii="Times New Roman CYR" w:hAnsi="Times New Roman CYR" w:cs="Times New Roman CYR"/>
          <w:sz w:val="28"/>
          <w:szCs w:val="28"/>
        </w:rPr>
        <w:t xml:space="preserve"> к настоящему Аналитическому отчету.</w:t>
      </w:r>
    </w:p>
    <w:p w14:paraId="189681DF" w14:textId="77777777" w:rsidR="00E327CE" w:rsidRDefault="00E327CE" w:rsidP="00A92D87">
      <w:pPr>
        <w:suppressAutoHyphens/>
        <w:autoSpaceDE w:val="0"/>
        <w:autoSpaceDN w:val="0"/>
        <w:adjustRightInd w:val="0"/>
        <w:spacing w:line="20" w:lineRule="atLeast"/>
        <w:ind w:firstLine="709"/>
        <w:jc w:val="both"/>
        <w:rPr>
          <w:rFonts w:ascii="Times New Roman CYR" w:hAnsi="Times New Roman CYR" w:cs="Times New Roman CYR"/>
          <w:sz w:val="28"/>
          <w:szCs w:val="28"/>
        </w:rPr>
      </w:pPr>
    </w:p>
    <w:p w14:paraId="65195282" w14:textId="77777777" w:rsidR="00CC3988" w:rsidRDefault="00CC3988" w:rsidP="00A92D87">
      <w:pPr>
        <w:suppressAutoHyphens/>
        <w:autoSpaceDE w:val="0"/>
        <w:autoSpaceDN w:val="0"/>
        <w:adjustRightInd w:val="0"/>
        <w:spacing w:line="20" w:lineRule="atLeast"/>
        <w:ind w:firstLine="709"/>
        <w:jc w:val="both"/>
        <w:rPr>
          <w:rFonts w:ascii="Times New Roman CYR" w:hAnsi="Times New Roman CYR" w:cs="Times New Roman CYR"/>
          <w:sz w:val="28"/>
          <w:szCs w:val="28"/>
        </w:rPr>
      </w:pPr>
    </w:p>
    <w:p w14:paraId="7753F4D3" w14:textId="77777777" w:rsidR="00CC3988" w:rsidRPr="00217063" w:rsidRDefault="00CC3988" w:rsidP="00A92D87">
      <w:pPr>
        <w:suppressAutoHyphens/>
        <w:autoSpaceDE w:val="0"/>
        <w:autoSpaceDN w:val="0"/>
        <w:adjustRightInd w:val="0"/>
        <w:spacing w:line="20" w:lineRule="atLeast"/>
        <w:ind w:firstLine="709"/>
        <w:jc w:val="both"/>
        <w:rPr>
          <w:rFonts w:ascii="Times New Roman CYR" w:hAnsi="Times New Roman CYR" w:cs="Times New Roman CYR"/>
          <w:sz w:val="28"/>
          <w:szCs w:val="28"/>
        </w:rPr>
      </w:pPr>
    </w:p>
    <w:p w14:paraId="610113B0" w14:textId="77777777" w:rsidR="00E327CE" w:rsidRPr="00213AC9" w:rsidRDefault="00E327CE" w:rsidP="00A92D87">
      <w:pPr>
        <w:pStyle w:val="ConsPlusNonformat"/>
        <w:widowControl/>
        <w:spacing w:line="20" w:lineRule="atLeast"/>
        <w:jc w:val="center"/>
        <w:outlineLvl w:val="0"/>
        <w:rPr>
          <w:rFonts w:ascii="Times New Roman" w:hAnsi="Times New Roman" w:cs="Times New Roman"/>
          <w:b/>
          <w:sz w:val="28"/>
          <w:szCs w:val="28"/>
        </w:rPr>
      </w:pPr>
      <w:bookmarkStart w:id="6" w:name="_Toc388459822"/>
      <w:r>
        <w:rPr>
          <w:rFonts w:ascii="Times New Roman" w:hAnsi="Times New Roman" w:cs="Times New Roman"/>
          <w:b/>
          <w:sz w:val="28"/>
          <w:szCs w:val="28"/>
          <w:lang w:val="en-US"/>
        </w:rPr>
        <w:t>VI</w:t>
      </w:r>
      <w:r w:rsidRPr="00213AC9">
        <w:rPr>
          <w:rFonts w:ascii="Times New Roman" w:hAnsi="Times New Roman" w:cs="Times New Roman"/>
          <w:b/>
          <w:sz w:val="28"/>
          <w:szCs w:val="28"/>
        </w:rPr>
        <w:t>. Расчет объема товарного рынка и долей хозяйствующих субъектов на рынке</w:t>
      </w:r>
      <w:bookmarkEnd w:id="6"/>
    </w:p>
    <w:p w14:paraId="015D3250" w14:textId="77777777" w:rsidR="00E327CE" w:rsidRPr="002F3D89" w:rsidRDefault="00E327CE" w:rsidP="00A92D87">
      <w:pPr>
        <w:pStyle w:val="ConsPlusNonformat"/>
        <w:widowControl/>
        <w:tabs>
          <w:tab w:val="num" w:pos="0"/>
        </w:tabs>
        <w:spacing w:line="20" w:lineRule="atLeast"/>
        <w:jc w:val="both"/>
        <w:rPr>
          <w:rFonts w:ascii="Times New Roman" w:hAnsi="Times New Roman" w:cs="Times New Roman"/>
          <w:sz w:val="28"/>
          <w:szCs w:val="28"/>
        </w:rPr>
      </w:pPr>
    </w:p>
    <w:p w14:paraId="6F5FE5B3" w14:textId="77777777" w:rsidR="00E327CE" w:rsidRPr="0077610C" w:rsidRDefault="00E327CE" w:rsidP="00A92D87">
      <w:pPr>
        <w:pStyle w:val="ConsPlusNonformat"/>
        <w:widowControl/>
        <w:tabs>
          <w:tab w:val="num" w:pos="0"/>
        </w:tabs>
        <w:spacing w:line="20" w:lineRule="atLeast"/>
        <w:ind w:firstLine="709"/>
        <w:jc w:val="both"/>
        <w:rPr>
          <w:rFonts w:ascii="Times New Roman" w:hAnsi="Times New Roman" w:cs="Times New Roman"/>
          <w:sz w:val="28"/>
          <w:szCs w:val="28"/>
        </w:rPr>
      </w:pPr>
      <w:r w:rsidRPr="00213AC9">
        <w:rPr>
          <w:rFonts w:ascii="Times New Roman" w:hAnsi="Times New Roman" w:cs="Times New Roman"/>
          <w:sz w:val="28"/>
          <w:szCs w:val="28"/>
        </w:rPr>
        <w:t>Основными данными для расчета явля</w:t>
      </w:r>
      <w:r>
        <w:rPr>
          <w:rFonts w:ascii="Times New Roman" w:hAnsi="Times New Roman" w:cs="Times New Roman"/>
          <w:sz w:val="28"/>
          <w:szCs w:val="28"/>
        </w:rPr>
        <w:t>ю</w:t>
      </w:r>
      <w:r w:rsidRPr="00213AC9">
        <w:rPr>
          <w:rFonts w:ascii="Times New Roman" w:hAnsi="Times New Roman" w:cs="Times New Roman"/>
          <w:sz w:val="28"/>
          <w:szCs w:val="28"/>
        </w:rPr>
        <w:t xml:space="preserve">тся </w:t>
      </w:r>
      <w:r>
        <w:rPr>
          <w:rFonts w:ascii="Times New Roman" w:hAnsi="Times New Roman" w:cs="Times New Roman"/>
          <w:sz w:val="28"/>
          <w:szCs w:val="28"/>
        </w:rPr>
        <w:t>объемы услуг</w:t>
      </w:r>
      <w:r w:rsidRPr="000F4192">
        <w:rPr>
          <w:rFonts w:ascii="Times New Roman" w:hAnsi="Times New Roman" w:cs="Times New Roman"/>
          <w:color w:val="000000" w:themeColor="text1"/>
          <w:sz w:val="28"/>
          <w:szCs w:val="28"/>
        </w:rPr>
        <w:t>,</w:t>
      </w:r>
      <w:r>
        <w:rPr>
          <w:rFonts w:ascii="Times New Roman" w:hAnsi="Times New Roman" w:cs="Times New Roman"/>
          <w:sz w:val="28"/>
          <w:szCs w:val="28"/>
        </w:rPr>
        <w:t xml:space="preserve"> оказанных владельцами </w:t>
      </w:r>
      <w:r w:rsidRPr="00DD2D02">
        <w:rPr>
          <w:rFonts w:ascii="Times New Roman" w:hAnsi="Times New Roman" w:cs="Times New Roman"/>
          <w:color w:val="000000" w:themeColor="text1"/>
          <w:sz w:val="28"/>
          <w:szCs w:val="28"/>
        </w:rPr>
        <w:t>СВХ,</w:t>
      </w:r>
      <w:r w:rsidRPr="00213AC9">
        <w:rPr>
          <w:rFonts w:ascii="Times New Roman" w:hAnsi="Times New Roman" w:cs="Times New Roman"/>
          <w:sz w:val="28"/>
          <w:szCs w:val="28"/>
        </w:rPr>
        <w:t xml:space="preserve"> </w:t>
      </w:r>
      <w:r>
        <w:rPr>
          <w:rFonts w:ascii="Times New Roman" w:hAnsi="Times New Roman" w:cs="Times New Roman"/>
          <w:sz w:val="28"/>
          <w:szCs w:val="28"/>
        </w:rPr>
        <w:t>по</w:t>
      </w:r>
      <w:r w:rsidRPr="00F752D5">
        <w:rPr>
          <w:rFonts w:ascii="Times New Roman" w:hAnsi="Times New Roman" w:cs="Times New Roman"/>
          <w:sz w:val="28"/>
          <w:szCs w:val="28"/>
        </w:rPr>
        <w:t>квартально</w:t>
      </w:r>
      <w:r>
        <w:rPr>
          <w:rFonts w:ascii="Times New Roman" w:hAnsi="Times New Roman" w:cs="Times New Roman"/>
          <w:sz w:val="28"/>
          <w:szCs w:val="28"/>
        </w:rPr>
        <w:t xml:space="preserve"> в исследуемый период.</w:t>
      </w:r>
    </w:p>
    <w:p w14:paraId="4CFBFE89" w14:textId="77777777" w:rsidR="00E327CE" w:rsidRPr="009A227A" w:rsidRDefault="00E327CE" w:rsidP="00A92D87">
      <w:pPr>
        <w:autoSpaceDE w:val="0"/>
        <w:autoSpaceDN w:val="0"/>
        <w:adjustRightInd w:val="0"/>
        <w:spacing w:line="20" w:lineRule="atLeast"/>
        <w:ind w:firstLine="709"/>
        <w:jc w:val="both"/>
        <w:outlineLvl w:val="0"/>
        <w:rPr>
          <w:sz w:val="28"/>
          <w:szCs w:val="28"/>
        </w:rPr>
      </w:pPr>
      <w:bookmarkStart w:id="7" w:name="_Toc388459823"/>
      <w:r>
        <w:rPr>
          <w:sz w:val="28"/>
          <w:szCs w:val="28"/>
        </w:rPr>
        <w:t xml:space="preserve">Определена доля </w:t>
      </w:r>
      <w:r w:rsidR="00F4570B">
        <w:rPr>
          <w:sz w:val="28"/>
          <w:szCs w:val="28"/>
        </w:rPr>
        <w:t>хозяйствующих субъектов</w:t>
      </w:r>
      <w:r w:rsidRPr="00213AC9">
        <w:rPr>
          <w:sz w:val="28"/>
          <w:szCs w:val="28"/>
        </w:rPr>
        <w:t xml:space="preserve">, действующих на рассматриваемом рынке, </w:t>
      </w:r>
      <w:r>
        <w:rPr>
          <w:sz w:val="28"/>
          <w:szCs w:val="28"/>
        </w:rPr>
        <w:t xml:space="preserve">а также </w:t>
      </w:r>
      <w:r w:rsidRPr="00922C23">
        <w:rPr>
          <w:sz w:val="28"/>
          <w:szCs w:val="28"/>
        </w:rPr>
        <w:t>наличие</w:t>
      </w:r>
      <w:r>
        <w:rPr>
          <w:sz w:val="28"/>
          <w:szCs w:val="28"/>
        </w:rPr>
        <w:t xml:space="preserve"> их </w:t>
      </w:r>
      <w:r w:rsidRPr="00213AC9">
        <w:rPr>
          <w:sz w:val="28"/>
          <w:szCs w:val="28"/>
        </w:rPr>
        <w:t>принадлежно</w:t>
      </w:r>
      <w:r w:rsidRPr="00922C23">
        <w:rPr>
          <w:sz w:val="28"/>
          <w:szCs w:val="28"/>
        </w:rPr>
        <w:t>сти</w:t>
      </w:r>
      <w:r w:rsidRPr="00213AC9">
        <w:rPr>
          <w:sz w:val="28"/>
          <w:szCs w:val="28"/>
        </w:rPr>
        <w:t xml:space="preserve"> к группе лиц.</w:t>
      </w:r>
      <w:bookmarkEnd w:id="7"/>
    </w:p>
    <w:p w14:paraId="7A60B28B" w14:textId="77777777" w:rsidR="00E327CE" w:rsidRPr="00741024" w:rsidRDefault="00E327CE" w:rsidP="00A92D87">
      <w:pPr>
        <w:spacing w:line="20" w:lineRule="atLeast"/>
        <w:ind w:firstLine="720"/>
        <w:jc w:val="both"/>
        <w:rPr>
          <w:sz w:val="28"/>
          <w:szCs w:val="28"/>
        </w:rPr>
      </w:pPr>
      <w:r>
        <w:rPr>
          <w:sz w:val="28"/>
          <w:szCs w:val="28"/>
        </w:rPr>
        <w:t xml:space="preserve">Согласно представленной </w:t>
      </w:r>
      <w:r>
        <w:rPr>
          <w:rFonts w:ascii="Times New Roman CYR" w:hAnsi="Times New Roman CYR" w:cs="Times New Roman CYR"/>
          <w:sz w:val="28"/>
          <w:szCs w:val="28"/>
        </w:rPr>
        <w:t xml:space="preserve">хозяйствующими субъектами </w:t>
      </w:r>
      <w:r>
        <w:rPr>
          <w:sz w:val="28"/>
          <w:szCs w:val="28"/>
        </w:rPr>
        <w:t>информации о</w:t>
      </w:r>
      <w:r w:rsidRPr="00455FB0">
        <w:rPr>
          <w:sz w:val="28"/>
          <w:szCs w:val="28"/>
        </w:rPr>
        <w:t xml:space="preserve">бщий </w:t>
      </w:r>
      <w:r>
        <w:rPr>
          <w:sz w:val="28"/>
          <w:szCs w:val="28"/>
        </w:rPr>
        <w:t>объем оказанных услуг</w:t>
      </w:r>
      <w:r w:rsidRPr="00741024">
        <w:rPr>
          <w:sz w:val="28"/>
          <w:szCs w:val="28"/>
        </w:rPr>
        <w:t>:</w:t>
      </w:r>
    </w:p>
    <w:p w14:paraId="6AAE8A76" w14:textId="77777777" w:rsidR="00E327CE" w:rsidRPr="00C54B6F" w:rsidRDefault="00910FE6" w:rsidP="00A92D87">
      <w:pPr>
        <w:numPr>
          <w:ilvl w:val="0"/>
          <w:numId w:val="14"/>
        </w:numPr>
        <w:spacing w:line="20" w:lineRule="atLeast"/>
        <w:jc w:val="both"/>
        <w:rPr>
          <w:b/>
          <w:color w:val="000000"/>
          <w:sz w:val="28"/>
          <w:szCs w:val="28"/>
        </w:rPr>
      </w:pPr>
      <w:r>
        <w:rPr>
          <w:b/>
          <w:color w:val="000000"/>
          <w:sz w:val="28"/>
          <w:szCs w:val="28"/>
        </w:rPr>
        <w:t>в 2015 году – 12 880 055,00</w:t>
      </w:r>
      <w:r w:rsidR="00E327CE" w:rsidRPr="00C54B6F">
        <w:rPr>
          <w:b/>
          <w:color w:val="000000"/>
          <w:sz w:val="28"/>
          <w:szCs w:val="28"/>
        </w:rPr>
        <w:t xml:space="preserve"> тыс. рублей</w:t>
      </w:r>
      <w:r w:rsidR="00E327CE" w:rsidRPr="00C54B6F">
        <w:rPr>
          <w:b/>
          <w:color w:val="000000"/>
          <w:sz w:val="28"/>
          <w:szCs w:val="28"/>
          <w:lang w:val="en-US"/>
        </w:rPr>
        <w:t>;</w:t>
      </w:r>
    </w:p>
    <w:p w14:paraId="4502B665" w14:textId="2C806A61" w:rsidR="00E327CE" w:rsidRPr="00C54B6F" w:rsidRDefault="00910FE6" w:rsidP="00A92D87">
      <w:pPr>
        <w:numPr>
          <w:ilvl w:val="0"/>
          <w:numId w:val="14"/>
        </w:numPr>
        <w:spacing w:line="20" w:lineRule="atLeast"/>
        <w:jc w:val="both"/>
        <w:rPr>
          <w:b/>
          <w:color w:val="000000"/>
          <w:sz w:val="28"/>
          <w:szCs w:val="28"/>
        </w:rPr>
      </w:pPr>
      <w:r>
        <w:rPr>
          <w:b/>
          <w:color w:val="000000"/>
          <w:sz w:val="28"/>
          <w:szCs w:val="28"/>
        </w:rPr>
        <w:t>в 2016</w:t>
      </w:r>
      <w:r w:rsidR="00E327CE" w:rsidRPr="00C54B6F">
        <w:rPr>
          <w:b/>
          <w:color w:val="000000"/>
          <w:sz w:val="28"/>
          <w:szCs w:val="28"/>
        </w:rPr>
        <w:t xml:space="preserve"> году </w:t>
      </w:r>
      <w:r>
        <w:rPr>
          <w:b/>
          <w:color w:val="000000"/>
          <w:sz w:val="28"/>
          <w:szCs w:val="28"/>
        </w:rPr>
        <w:t>– 13</w:t>
      </w:r>
      <w:r w:rsidR="001D03D3">
        <w:rPr>
          <w:b/>
          <w:color w:val="000000"/>
          <w:sz w:val="28"/>
          <w:szCs w:val="28"/>
        </w:rPr>
        <w:t> </w:t>
      </w:r>
      <w:r>
        <w:rPr>
          <w:b/>
          <w:color w:val="000000"/>
          <w:sz w:val="28"/>
          <w:szCs w:val="28"/>
        </w:rPr>
        <w:t>421</w:t>
      </w:r>
      <w:r w:rsidR="001D03D3">
        <w:rPr>
          <w:b/>
          <w:color w:val="000000"/>
          <w:sz w:val="28"/>
          <w:szCs w:val="28"/>
        </w:rPr>
        <w:t xml:space="preserve"> </w:t>
      </w:r>
      <w:r>
        <w:rPr>
          <w:b/>
          <w:color w:val="000000"/>
          <w:sz w:val="28"/>
          <w:szCs w:val="28"/>
        </w:rPr>
        <w:t>518,86</w:t>
      </w:r>
      <w:r w:rsidR="00E327CE" w:rsidRPr="00C54B6F">
        <w:rPr>
          <w:b/>
          <w:color w:val="000000"/>
          <w:sz w:val="28"/>
          <w:szCs w:val="28"/>
        </w:rPr>
        <w:t xml:space="preserve"> тыс. рублей.</w:t>
      </w:r>
    </w:p>
    <w:p w14:paraId="141C1F41" w14:textId="20E72F07" w:rsidR="00E327CE" w:rsidRDefault="00E327CE" w:rsidP="00A92D87">
      <w:pPr>
        <w:autoSpaceDE w:val="0"/>
        <w:autoSpaceDN w:val="0"/>
        <w:adjustRightInd w:val="0"/>
        <w:spacing w:line="20" w:lineRule="atLeast"/>
        <w:ind w:firstLine="709"/>
        <w:jc w:val="both"/>
        <w:rPr>
          <w:sz w:val="28"/>
          <w:szCs w:val="28"/>
        </w:rPr>
      </w:pPr>
      <w:r>
        <w:rPr>
          <w:sz w:val="28"/>
          <w:szCs w:val="28"/>
        </w:rPr>
        <w:t>В</w:t>
      </w:r>
      <w:r w:rsidRPr="00471393">
        <w:rPr>
          <w:sz w:val="28"/>
          <w:szCs w:val="28"/>
        </w:rPr>
        <w:t xml:space="preserve"> р</w:t>
      </w:r>
      <w:r>
        <w:rPr>
          <w:sz w:val="28"/>
          <w:szCs w:val="28"/>
        </w:rPr>
        <w:t xml:space="preserve">езультате проведенного ФАС России исследования установлены </w:t>
      </w:r>
      <w:r w:rsidR="001D03D3">
        <w:rPr>
          <w:sz w:val="28"/>
          <w:szCs w:val="28"/>
        </w:rPr>
        <w:t>отдельные хозяйствующие субъекты</w:t>
      </w:r>
      <w:r w:rsidRPr="00471393">
        <w:rPr>
          <w:sz w:val="28"/>
          <w:szCs w:val="28"/>
        </w:rPr>
        <w:t xml:space="preserve">, входящие в одну группу лиц и оказывающие </w:t>
      </w:r>
      <w:r>
        <w:rPr>
          <w:sz w:val="28"/>
          <w:szCs w:val="28"/>
        </w:rPr>
        <w:t xml:space="preserve">услуги </w:t>
      </w:r>
      <w:r w:rsidR="003B29FF">
        <w:rPr>
          <w:sz w:val="28"/>
          <w:szCs w:val="28"/>
        </w:rPr>
        <w:t xml:space="preserve">складов временного хранения </w:t>
      </w:r>
      <w:r w:rsidRPr="00471393">
        <w:rPr>
          <w:sz w:val="28"/>
          <w:szCs w:val="28"/>
        </w:rPr>
        <w:t>на т</w:t>
      </w:r>
      <w:r>
        <w:rPr>
          <w:sz w:val="28"/>
          <w:szCs w:val="28"/>
        </w:rPr>
        <w:t>ерритории Российской Федерации.</w:t>
      </w:r>
    </w:p>
    <w:p w14:paraId="15E7BCEF" w14:textId="77777777" w:rsidR="00E327CE" w:rsidRDefault="00E327CE" w:rsidP="00A92D87">
      <w:pPr>
        <w:autoSpaceDE w:val="0"/>
        <w:autoSpaceDN w:val="0"/>
        <w:adjustRightInd w:val="0"/>
        <w:spacing w:line="20" w:lineRule="atLeast"/>
        <w:ind w:firstLine="709"/>
        <w:jc w:val="both"/>
        <w:rPr>
          <w:sz w:val="28"/>
          <w:szCs w:val="28"/>
        </w:rPr>
      </w:pPr>
      <w:r>
        <w:rPr>
          <w:sz w:val="28"/>
          <w:szCs w:val="28"/>
        </w:rPr>
        <w:t>Наиболее крупные из них:</w:t>
      </w:r>
      <w:r w:rsidRPr="00471393">
        <w:rPr>
          <w:sz w:val="28"/>
          <w:szCs w:val="28"/>
        </w:rPr>
        <w:t xml:space="preserve"> </w:t>
      </w:r>
    </w:p>
    <w:p w14:paraId="05941588" w14:textId="77777777" w:rsidR="00966389" w:rsidRDefault="00966389" w:rsidP="00A92D87">
      <w:pPr>
        <w:autoSpaceDE w:val="0"/>
        <w:autoSpaceDN w:val="0"/>
        <w:adjustRightInd w:val="0"/>
        <w:spacing w:line="20" w:lineRule="atLeast"/>
        <w:ind w:firstLine="709"/>
        <w:jc w:val="both"/>
        <w:rPr>
          <w:sz w:val="28"/>
          <w:szCs w:val="28"/>
        </w:rPr>
      </w:pPr>
    </w:p>
    <w:tbl>
      <w:tblPr>
        <w:tblW w:w="10060" w:type="dxa"/>
        <w:tblLook w:val="04A0" w:firstRow="1" w:lastRow="0" w:firstColumn="1" w:lastColumn="0" w:noHBand="0" w:noVBand="1"/>
      </w:tblPr>
      <w:tblGrid>
        <w:gridCol w:w="3420"/>
        <w:gridCol w:w="4230"/>
        <w:gridCol w:w="1220"/>
        <w:gridCol w:w="1190"/>
      </w:tblGrid>
      <w:tr w:rsidR="002A6FD1" w14:paraId="23FEE584" w14:textId="77777777" w:rsidTr="002A6FD1">
        <w:trPr>
          <w:trHeight w:val="600"/>
        </w:trPr>
        <w:tc>
          <w:tcPr>
            <w:tcW w:w="3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9ABC5" w14:textId="77777777" w:rsidR="002A6FD1" w:rsidRDefault="002A6FD1">
            <w:pPr>
              <w:jc w:val="center"/>
              <w:rPr>
                <w:rFonts w:ascii="Calibri" w:hAnsi="Calibri"/>
                <w:b/>
                <w:bCs/>
                <w:color w:val="000000"/>
                <w:sz w:val="22"/>
                <w:szCs w:val="22"/>
              </w:rPr>
            </w:pPr>
            <w:r>
              <w:rPr>
                <w:rFonts w:ascii="Calibri" w:hAnsi="Calibri"/>
                <w:b/>
                <w:bCs/>
                <w:color w:val="000000"/>
                <w:sz w:val="22"/>
                <w:szCs w:val="22"/>
              </w:rPr>
              <w:t>Наименование группы лиц владельца СВХ</w:t>
            </w:r>
          </w:p>
        </w:tc>
        <w:tc>
          <w:tcPr>
            <w:tcW w:w="4230" w:type="dxa"/>
            <w:tcBorders>
              <w:top w:val="single" w:sz="4" w:space="0" w:color="auto"/>
              <w:left w:val="nil"/>
              <w:bottom w:val="single" w:sz="4" w:space="0" w:color="auto"/>
              <w:right w:val="single" w:sz="4" w:space="0" w:color="auto"/>
            </w:tcBorders>
            <w:shd w:val="clear" w:color="000000" w:fill="D9D9D9"/>
            <w:vAlign w:val="center"/>
            <w:hideMark/>
          </w:tcPr>
          <w:p w14:paraId="5B2FA717" w14:textId="77777777" w:rsidR="002A6FD1" w:rsidRDefault="002A6FD1">
            <w:pPr>
              <w:jc w:val="center"/>
              <w:rPr>
                <w:rFonts w:ascii="Calibri" w:hAnsi="Calibri"/>
                <w:b/>
                <w:bCs/>
                <w:color w:val="000000"/>
                <w:sz w:val="22"/>
                <w:szCs w:val="22"/>
              </w:rPr>
            </w:pPr>
            <w:r>
              <w:rPr>
                <w:rFonts w:ascii="Calibri" w:hAnsi="Calibri"/>
                <w:b/>
                <w:bCs/>
                <w:color w:val="000000"/>
                <w:sz w:val="22"/>
                <w:szCs w:val="22"/>
              </w:rPr>
              <w:t>Наименование владельца СВХ</w:t>
            </w:r>
          </w:p>
        </w:tc>
        <w:tc>
          <w:tcPr>
            <w:tcW w:w="1220" w:type="dxa"/>
            <w:tcBorders>
              <w:top w:val="single" w:sz="4" w:space="0" w:color="auto"/>
              <w:left w:val="nil"/>
              <w:bottom w:val="single" w:sz="4" w:space="0" w:color="auto"/>
              <w:right w:val="single" w:sz="4" w:space="0" w:color="auto"/>
            </w:tcBorders>
            <w:shd w:val="clear" w:color="000000" w:fill="D0CECE"/>
            <w:noWrap/>
            <w:vAlign w:val="bottom"/>
            <w:hideMark/>
          </w:tcPr>
          <w:p w14:paraId="4E2A0761" w14:textId="77777777" w:rsidR="002A6FD1" w:rsidRDefault="002A6FD1">
            <w:pPr>
              <w:rPr>
                <w:rFonts w:ascii="Calibri" w:hAnsi="Calibri"/>
                <w:color w:val="000000"/>
                <w:sz w:val="22"/>
                <w:szCs w:val="22"/>
              </w:rPr>
            </w:pPr>
            <w:r>
              <w:rPr>
                <w:rFonts w:ascii="Calibri" w:hAnsi="Calibri"/>
                <w:color w:val="000000"/>
                <w:sz w:val="22"/>
                <w:szCs w:val="22"/>
              </w:rPr>
              <w:t>Доля 2016</w:t>
            </w:r>
          </w:p>
        </w:tc>
        <w:tc>
          <w:tcPr>
            <w:tcW w:w="1190" w:type="dxa"/>
            <w:tcBorders>
              <w:top w:val="single" w:sz="4" w:space="0" w:color="auto"/>
              <w:left w:val="nil"/>
              <w:bottom w:val="single" w:sz="4" w:space="0" w:color="auto"/>
              <w:right w:val="single" w:sz="4" w:space="0" w:color="auto"/>
            </w:tcBorders>
            <w:shd w:val="clear" w:color="000000" w:fill="D0CECE"/>
            <w:noWrap/>
            <w:vAlign w:val="bottom"/>
            <w:hideMark/>
          </w:tcPr>
          <w:p w14:paraId="3D69EEE7" w14:textId="77777777" w:rsidR="002A6FD1" w:rsidRDefault="002A6FD1">
            <w:pPr>
              <w:rPr>
                <w:rFonts w:ascii="Calibri" w:hAnsi="Calibri"/>
                <w:color w:val="000000"/>
                <w:sz w:val="22"/>
                <w:szCs w:val="22"/>
              </w:rPr>
            </w:pPr>
            <w:r>
              <w:rPr>
                <w:rFonts w:ascii="Calibri" w:hAnsi="Calibri"/>
                <w:color w:val="000000"/>
                <w:sz w:val="22"/>
                <w:szCs w:val="22"/>
              </w:rPr>
              <w:t>Доля 2015</w:t>
            </w:r>
          </w:p>
        </w:tc>
      </w:tr>
      <w:tr w:rsidR="002A6FD1" w14:paraId="26E3C9E6"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4B7CB61" w14:textId="77777777" w:rsidR="002A6FD1" w:rsidRDefault="002A6FD1">
            <w:pPr>
              <w:rPr>
                <w:rFonts w:ascii="Calibri" w:hAnsi="Calibri"/>
                <w:color w:val="000000"/>
                <w:sz w:val="22"/>
                <w:szCs w:val="22"/>
              </w:rPr>
            </w:pPr>
            <w:r>
              <w:rPr>
                <w:rFonts w:ascii="Calibri" w:hAnsi="Calibri"/>
                <w:color w:val="000000"/>
                <w:sz w:val="22"/>
                <w:szCs w:val="22"/>
              </w:rPr>
              <w:t>АльфаТрансТерминал</w:t>
            </w:r>
          </w:p>
        </w:tc>
        <w:tc>
          <w:tcPr>
            <w:tcW w:w="4230" w:type="dxa"/>
            <w:tcBorders>
              <w:top w:val="nil"/>
              <w:left w:val="nil"/>
              <w:bottom w:val="single" w:sz="4" w:space="0" w:color="auto"/>
              <w:right w:val="single" w:sz="4" w:space="0" w:color="auto"/>
            </w:tcBorders>
            <w:shd w:val="clear" w:color="auto" w:fill="auto"/>
            <w:vAlign w:val="bottom"/>
            <w:hideMark/>
          </w:tcPr>
          <w:p w14:paraId="1A01F439" w14:textId="77777777" w:rsidR="002A6FD1" w:rsidRDefault="002A6FD1">
            <w:pPr>
              <w:rPr>
                <w:rFonts w:ascii="Calibri" w:hAnsi="Calibri"/>
                <w:color w:val="000000"/>
                <w:sz w:val="22"/>
                <w:szCs w:val="22"/>
              </w:rPr>
            </w:pPr>
            <w:r>
              <w:rPr>
                <w:rFonts w:ascii="Calibri" w:hAnsi="Calibri"/>
                <w:color w:val="000000"/>
                <w:sz w:val="22"/>
                <w:szCs w:val="22"/>
              </w:rPr>
              <w:t>ООО "Альфа Транс Терминал"</w:t>
            </w:r>
          </w:p>
        </w:tc>
        <w:tc>
          <w:tcPr>
            <w:tcW w:w="1220" w:type="dxa"/>
            <w:tcBorders>
              <w:top w:val="nil"/>
              <w:left w:val="nil"/>
              <w:bottom w:val="single" w:sz="4" w:space="0" w:color="auto"/>
              <w:right w:val="single" w:sz="4" w:space="0" w:color="auto"/>
            </w:tcBorders>
            <w:shd w:val="clear" w:color="auto" w:fill="auto"/>
            <w:noWrap/>
            <w:vAlign w:val="bottom"/>
            <w:hideMark/>
          </w:tcPr>
          <w:p w14:paraId="5802FA15" w14:textId="77777777" w:rsidR="002A6FD1" w:rsidRDefault="002A6FD1">
            <w:pPr>
              <w:jc w:val="right"/>
              <w:rPr>
                <w:rFonts w:ascii="Calibri" w:hAnsi="Calibri"/>
                <w:color w:val="000000"/>
                <w:sz w:val="22"/>
                <w:szCs w:val="22"/>
              </w:rPr>
            </w:pPr>
            <w:r>
              <w:rPr>
                <w:rFonts w:ascii="Calibri" w:hAnsi="Calibri"/>
                <w:color w:val="000000"/>
                <w:sz w:val="22"/>
                <w:szCs w:val="22"/>
              </w:rPr>
              <w:t>4,85%</w:t>
            </w:r>
          </w:p>
        </w:tc>
        <w:tc>
          <w:tcPr>
            <w:tcW w:w="1190" w:type="dxa"/>
            <w:tcBorders>
              <w:top w:val="nil"/>
              <w:left w:val="nil"/>
              <w:bottom w:val="single" w:sz="4" w:space="0" w:color="auto"/>
              <w:right w:val="single" w:sz="4" w:space="0" w:color="auto"/>
            </w:tcBorders>
            <w:shd w:val="clear" w:color="auto" w:fill="auto"/>
            <w:noWrap/>
            <w:vAlign w:val="bottom"/>
            <w:hideMark/>
          </w:tcPr>
          <w:p w14:paraId="0540ED7F" w14:textId="77777777" w:rsidR="002A6FD1" w:rsidRDefault="002A6FD1">
            <w:pPr>
              <w:jc w:val="right"/>
              <w:rPr>
                <w:rFonts w:ascii="Calibri" w:hAnsi="Calibri"/>
                <w:color w:val="000000"/>
                <w:sz w:val="22"/>
                <w:szCs w:val="22"/>
              </w:rPr>
            </w:pPr>
            <w:r>
              <w:rPr>
                <w:rFonts w:ascii="Calibri" w:hAnsi="Calibri"/>
                <w:color w:val="000000"/>
                <w:sz w:val="22"/>
                <w:szCs w:val="22"/>
              </w:rPr>
              <w:t>3,60%</w:t>
            </w:r>
          </w:p>
        </w:tc>
      </w:tr>
      <w:tr w:rsidR="002A6FD1" w14:paraId="1D01B6BC"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BC54F34"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2B7C3EC8" w14:textId="77777777" w:rsidR="002A6FD1" w:rsidRDefault="002A6FD1">
            <w:pPr>
              <w:rPr>
                <w:rFonts w:ascii="Calibri" w:hAnsi="Calibri"/>
                <w:color w:val="000000"/>
                <w:sz w:val="22"/>
                <w:szCs w:val="22"/>
              </w:rPr>
            </w:pPr>
            <w:r>
              <w:rPr>
                <w:rFonts w:ascii="Calibri" w:hAnsi="Calibri"/>
                <w:color w:val="000000"/>
                <w:sz w:val="22"/>
                <w:szCs w:val="22"/>
              </w:rPr>
              <w:t>ООО "АЛЬФА ТРАНС"</w:t>
            </w:r>
          </w:p>
        </w:tc>
        <w:tc>
          <w:tcPr>
            <w:tcW w:w="1220" w:type="dxa"/>
            <w:tcBorders>
              <w:top w:val="nil"/>
              <w:left w:val="nil"/>
              <w:bottom w:val="single" w:sz="4" w:space="0" w:color="auto"/>
              <w:right w:val="single" w:sz="4" w:space="0" w:color="auto"/>
            </w:tcBorders>
            <w:shd w:val="clear" w:color="auto" w:fill="auto"/>
            <w:noWrap/>
            <w:vAlign w:val="bottom"/>
            <w:hideMark/>
          </w:tcPr>
          <w:p w14:paraId="58813DAB" w14:textId="77777777" w:rsidR="002A6FD1" w:rsidRDefault="002A6FD1">
            <w:pPr>
              <w:jc w:val="right"/>
              <w:rPr>
                <w:rFonts w:ascii="Calibri" w:hAnsi="Calibri"/>
                <w:color w:val="000000"/>
                <w:sz w:val="22"/>
                <w:szCs w:val="22"/>
              </w:rPr>
            </w:pPr>
            <w:r>
              <w:rPr>
                <w:rFonts w:ascii="Calibri" w:hAnsi="Calibri"/>
                <w:color w:val="000000"/>
                <w:sz w:val="22"/>
                <w:szCs w:val="22"/>
              </w:rPr>
              <w:t>0,58%</w:t>
            </w:r>
          </w:p>
        </w:tc>
        <w:tc>
          <w:tcPr>
            <w:tcW w:w="1190" w:type="dxa"/>
            <w:tcBorders>
              <w:top w:val="nil"/>
              <w:left w:val="nil"/>
              <w:bottom w:val="single" w:sz="4" w:space="0" w:color="auto"/>
              <w:right w:val="single" w:sz="4" w:space="0" w:color="auto"/>
            </w:tcBorders>
            <w:shd w:val="clear" w:color="auto" w:fill="auto"/>
            <w:noWrap/>
            <w:vAlign w:val="bottom"/>
            <w:hideMark/>
          </w:tcPr>
          <w:p w14:paraId="7127C01B" w14:textId="77777777" w:rsidR="002A6FD1" w:rsidRDefault="002A6FD1">
            <w:pPr>
              <w:jc w:val="right"/>
              <w:rPr>
                <w:rFonts w:ascii="Calibri" w:hAnsi="Calibri"/>
                <w:color w:val="000000"/>
                <w:sz w:val="22"/>
                <w:szCs w:val="22"/>
              </w:rPr>
            </w:pPr>
            <w:r>
              <w:rPr>
                <w:rFonts w:ascii="Calibri" w:hAnsi="Calibri"/>
                <w:color w:val="000000"/>
                <w:sz w:val="22"/>
                <w:szCs w:val="22"/>
              </w:rPr>
              <w:t>0,67%</w:t>
            </w:r>
          </w:p>
        </w:tc>
      </w:tr>
      <w:tr w:rsidR="002A6FD1" w14:paraId="2C10A5B9" w14:textId="77777777" w:rsidTr="002A6FD1">
        <w:trPr>
          <w:trHeight w:val="300"/>
        </w:trPr>
        <w:tc>
          <w:tcPr>
            <w:tcW w:w="3420" w:type="dxa"/>
            <w:tcBorders>
              <w:top w:val="nil"/>
              <w:left w:val="single" w:sz="4" w:space="0" w:color="auto"/>
              <w:bottom w:val="single" w:sz="4" w:space="0" w:color="auto"/>
              <w:right w:val="single" w:sz="4" w:space="0" w:color="auto"/>
            </w:tcBorders>
            <w:shd w:val="clear" w:color="000000" w:fill="D9D9D9"/>
            <w:vAlign w:val="bottom"/>
            <w:hideMark/>
          </w:tcPr>
          <w:p w14:paraId="65CC0590" w14:textId="77777777" w:rsidR="002A6FD1" w:rsidRDefault="002A6FD1">
            <w:pPr>
              <w:rPr>
                <w:rFonts w:ascii="Calibri" w:hAnsi="Calibri"/>
                <w:b/>
                <w:bCs/>
                <w:color w:val="000000"/>
                <w:sz w:val="22"/>
                <w:szCs w:val="22"/>
              </w:rPr>
            </w:pPr>
            <w:r>
              <w:rPr>
                <w:rFonts w:ascii="Calibri" w:hAnsi="Calibri"/>
                <w:b/>
                <w:bCs/>
                <w:color w:val="000000"/>
                <w:sz w:val="22"/>
                <w:szCs w:val="22"/>
              </w:rPr>
              <w:t>АльфаТрансТерминал Итог</w:t>
            </w:r>
          </w:p>
        </w:tc>
        <w:tc>
          <w:tcPr>
            <w:tcW w:w="4230" w:type="dxa"/>
            <w:tcBorders>
              <w:top w:val="nil"/>
              <w:left w:val="nil"/>
              <w:bottom w:val="single" w:sz="4" w:space="0" w:color="auto"/>
              <w:right w:val="single" w:sz="4" w:space="0" w:color="auto"/>
            </w:tcBorders>
            <w:shd w:val="clear" w:color="000000" w:fill="D9D9D9"/>
            <w:vAlign w:val="bottom"/>
            <w:hideMark/>
          </w:tcPr>
          <w:p w14:paraId="5EFE5926" w14:textId="77777777" w:rsidR="002A6FD1" w:rsidRDefault="002A6FD1">
            <w:pPr>
              <w:rPr>
                <w:rFonts w:ascii="Calibri" w:hAnsi="Calibri"/>
                <w:b/>
                <w:bCs/>
                <w:color w:val="000000"/>
                <w:sz w:val="22"/>
                <w:szCs w:val="22"/>
              </w:rPr>
            </w:pPr>
            <w:r>
              <w:rPr>
                <w:rFonts w:ascii="Calibri" w:hAnsi="Calibri"/>
                <w:b/>
                <w:bCs/>
                <w:color w:val="000000"/>
                <w:sz w:val="22"/>
                <w:szCs w:val="22"/>
              </w:rPr>
              <w:t> </w:t>
            </w:r>
          </w:p>
        </w:tc>
        <w:tc>
          <w:tcPr>
            <w:tcW w:w="1220" w:type="dxa"/>
            <w:tcBorders>
              <w:top w:val="nil"/>
              <w:left w:val="nil"/>
              <w:bottom w:val="single" w:sz="4" w:space="0" w:color="auto"/>
              <w:right w:val="single" w:sz="4" w:space="0" w:color="auto"/>
            </w:tcBorders>
            <w:shd w:val="clear" w:color="000000" w:fill="D9D9D9"/>
            <w:noWrap/>
            <w:vAlign w:val="bottom"/>
            <w:hideMark/>
          </w:tcPr>
          <w:p w14:paraId="5EAEFFF6" w14:textId="77777777" w:rsidR="002A6FD1" w:rsidRDefault="002A6FD1">
            <w:pPr>
              <w:jc w:val="right"/>
              <w:rPr>
                <w:rFonts w:ascii="Calibri" w:hAnsi="Calibri"/>
                <w:b/>
                <w:bCs/>
                <w:color w:val="000000"/>
                <w:sz w:val="22"/>
                <w:szCs w:val="22"/>
              </w:rPr>
            </w:pPr>
            <w:r>
              <w:rPr>
                <w:rFonts w:ascii="Calibri" w:hAnsi="Calibri"/>
                <w:b/>
                <w:bCs/>
                <w:color w:val="000000"/>
                <w:sz w:val="22"/>
                <w:szCs w:val="22"/>
              </w:rPr>
              <w:t>5,43%</w:t>
            </w:r>
          </w:p>
        </w:tc>
        <w:tc>
          <w:tcPr>
            <w:tcW w:w="1190" w:type="dxa"/>
            <w:tcBorders>
              <w:top w:val="nil"/>
              <w:left w:val="nil"/>
              <w:bottom w:val="single" w:sz="4" w:space="0" w:color="auto"/>
              <w:right w:val="single" w:sz="4" w:space="0" w:color="auto"/>
            </w:tcBorders>
            <w:shd w:val="clear" w:color="000000" w:fill="D9D9D9"/>
            <w:noWrap/>
            <w:vAlign w:val="bottom"/>
            <w:hideMark/>
          </w:tcPr>
          <w:p w14:paraId="7A9E758D" w14:textId="77777777" w:rsidR="002A6FD1" w:rsidRDefault="002A6FD1">
            <w:pPr>
              <w:jc w:val="right"/>
              <w:rPr>
                <w:rFonts w:ascii="Calibri" w:hAnsi="Calibri"/>
                <w:b/>
                <w:bCs/>
                <w:color w:val="000000"/>
                <w:sz w:val="22"/>
                <w:szCs w:val="22"/>
              </w:rPr>
            </w:pPr>
            <w:r>
              <w:rPr>
                <w:rFonts w:ascii="Calibri" w:hAnsi="Calibri"/>
                <w:b/>
                <w:bCs/>
                <w:color w:val="000000"/>
                <w:sz w:val="22"/>
                <w:szCs w:val="22"/>
              </w:rPr>
              <w:t>4,28%</w:t>
            </w:r>
          </w:p>
        </w:tc>
      </w:tr>
      <w:tr w:rsidR="002A6FD1" w14:paraId="6B579709" w14:textId="77777777" w:rsidTr="002A6FD1">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5B27BA8" w14:textId="77777777" w:rsidR="002A6FD1" w:rsidRDefault="002A6FD1">
            <w:pPr>
              <w:rPr>
                <w:rFonts w:ascii="Calibri" w:hAnsi="Calibri"/>
                <w:color w:val="000000"/>
                <w:sz w:val="22"/>
                <w:szCs w:val="22"/>
              </w:rPr>
            </w:pPr>
            <w:r>
              <w:rPr>
                <w:rFonts w:ascii="Calibri" w:hAnsi="Calibri"/>
                <w:color w:val="000000"/>
                <w:sz w:val="22"/>
                <w:szCs w:val="22"/>
              </w:rPr>
              <w:t>РЖД</w:t>
            </w:r>
          </w:p>
        </w:tc>
        <w:tc>
          <w:tcPr>
            <w:tcW w:w="4230" w:type="dxa"/>
            <w:tcBorders>
              <w:top w:val="nil"/>
              <w:left w:val="nil"/>
              <w:bottom w:val="single" w:sz="4" w:space="0" w:color="auto"/>
              <w:right w:val="single" w:sz="4" w:space="0" w:color="auto"/>
            </w:tcBorders>
            <w:shd w:val="clear" w:color="auto" w:fill="auto"/>
            <w:vAlign w:val="bottom"/>
            <w:hideMark/>
          </w:tcPr>
          <w:p w14:paraId="7B3EA083" w14:textId="77777777" w:rsidR="002A6FD1" w:rsidRDefault="002A6FD1">
            <w:pPr>
              <w:rPr>
                <w:rFonts w:ascii="Calibri" w:hAnsi="Calibri"/>
                <w:color w:val="000000"/>
                <w:sz w:val="22"/>
                <w:szCs w:val="22"/>
              </w:rPr>
            </w:pPr>
            <w:r>
              <w:rPr>
                <w:rFonts w:ascii="Calibri" w:hAnsi="Calibri"/>
                <w:color w:val="000000"/>
                <w:sz w:val="22"/>
                <w:szCs w:val="22"/>
              </w:rPr>
              <w:t>ПАО "Центр по перевозке грузов в контейнерах "ТрансКонтейнер""</w:t>
            </w:r>
          </w:p>
        </w:tc>
        <w:tc>
          <w:tcPr>
            <w:tcW w:w="1220" w:type="dxa"/>
            <w:tcBorders>
              <w:top w:val="nil"/>
              <w:left w:val="nil"/>
              <w:bottom w:val="single" w:sz="4" w:space="0" w:color="auto"/>
              <w:right w:val="single" w:sz="4" w:space="0" w:color="auto"/>
            </w:tcBorders>
            <w:shd w:val="clear" w:color="auto" w:fill="auto"/>
            <w:noWrap/>
            <w:vAlign w:val="bottom"/>
            <w:hideMark/>
          </w:tcPr>
          <w:p w14:paraId="2CA0C28B" w14:textId="77777777" w:rsidR="002A6FD1" w:rsidRDefault="002A6FD1">
            <w:pPr>
              <w:jc w:val="right"/>
              <w:rPr>
                <w:rFonts w:ascii="Calibri" w:hAnsi="Calibri"/>
                <w:color w:val="000000"/>
                <w:sz w:val="22"/>
                <w:szCs w:val="22"/>
              </w:rPr>
            </w:pPr>
            <w:r>
              <w:rPr>
                <w:rFonts w:ascii="Calibri" w:hAnsi="Calibri"/>
                <w:color w:val="000000"/>
                <w:sz w:val="22"/>
                <w:szCs w:val="22"/>
              </w:rPr>
              <w:t>2,87%</w:t>
            </w:r>
          </w:p>
        </w:tc>
        <w:tc>
          <w:tcPr>
            <w:tcW w:w="1190" w:type="dxa"/>
            <w:tcBorders>
              <w:top w:val="nil"/>
              <w:left w:val="nil"/>
              <w:bottom w:val="single" w:sz="4" w:space="0" w:color="auto"/>
              <w:right w:val="single" w:sz="4" w:space="0" w:color="auto"/>
            </w:tcBorders>
            <w:shd w:val="clear" w:color="auto" w:fill="auto"/>
            <w:noWrap/>
            <w:vAlign w:val="bottom"/>
            <w:hideMark/>
          </w:tcPr>
          <w:p w14:paraId="2E541933" w14:textId="77777777" w:rsidR="002A6FD1" w:rsidRDefault="002A6FD1">
            <w:pPr>
              <w:jc w:val="right"/>
              <w:rPr>
                <w:rFonts w:ascii="Calibri" w:hAnsi="Calibri"/>
                <w:color w:val="000000"/>
                <w:sz w:val="22"/>
                <w:szCs w:val="22"/>
              </w:rPr>
            </w:pPr>
            <w:r>
              <w:rPr>
                <w:rFonts w:ascii="Calibri" w:hAnsi="Calibri"/>
                <w:color w:val="000000"/>
                <w:sz w:val="22"/>
                <w:szCs w:val="22"/>
              </w:rPr>
              <w:t>2,83%</w:t>
            </w:r>
          </w:p>
        </w:tc>
      </w:tr>
      <w:tr w:rsidR="002A6FD1" w14:paraId="746B89A5" w14:textId="77777777" w:rsidTr="002A6FD1">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A4A287C"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29FFEC66" w14:textId="77777777" w:rsidR="002A6FD1" w:rsidRDefault="002A6FD1">
            <w:pPr>
              <w:rPr>
                <w:rFonts w:ascii="Calibri" w:hAnsi="Calibri"/>
                <w:color w:val="000000"/>
                <w:sz w:val="22"/>
                <w:szCs w:val="22"/>
              </w:rPr>
            </w:pPr>
            <w:r>
              <w:rPr>
                <w:rFonts w:ascii="Calibri" w:hAnsi="Calibri"/>
                <w:color w:val="000000"/>
                <w:sz w:val="22"/>
                <w:szCs w:val="22"/>
              </w:rPr>
              <w:t>ОАО "РЖД" в лице ЗСЖД - филиала ОАО "РЖД"</w:t>
            </w:r>
          </w:p>
        </w:tc>
        <w:tc>
          <w:tcPr>
            <w:tcW w:w="1220" w:type="dxa"/>
            <w:tcBorders>
              <w:top w:val="nil"/>
              <w:left w:val="nil"/>
              <w:bottom w:val="single" w:sz="4" w:space="0" w:color="auto"/>
              <w:right w:val="single" w:sz="4" w:space="0" w:color="auto"/>
            </w:tcBorders>
            <w:shd w:val="clear" w:color="auto" w:fill="auto"/>
            <w:noWrap/>
            <w:vAlign w:val="bottom"/>
            <w:hideMark/>
          </w:tcPr>
          <w:p w14:paraId="5A1CC63E" w14:textId="77777777" w:rsidR="002A6FD1" w:rsidRDefault="002A6FD1">
            <w:pPr>
              <w:jc w:val="right"/>
              <w:rPr>
                <w:rFonts w:ascii="Calibri" w:hAnsi="Calibri"/>
                <w:color w:val="000000"/>
                <w:sz w:val="22"/>
                <w:szCs w:val="22"/>
              </w:rPr>
            </w:pPr>
            <w:r>
              <w:rPr>
                <w:rFonts w:ascii="Calibri" w:hAnsi="Calibri"/>
                <w:color w:val="000000"/>
                <w:sz w:val="22"/>
                <w:szCs w:val="22"/>
              </w:rPr>
              <w:t>0,07%</w:t>
            </w:r>
          </w:p>
        </w:tc>
        <w:tc>
          <w:tcPr>
            <w:tcW w:w="1190" w:type="dxa"/>
            <w:tcBorders>
              <w:top w:val="nil"/>
              <w:left w:val="nil"/>
              <w:bottom w:val="single" w:sz="4" w:space="0" w:color="auto"/>
              <w:right w:val="single" w:sz="4" w:space="0" w:color="auto"/>
            </w:tcBorders>
            <w:shd w:val="clear" w:color="auto" w:fill="auto"/>
            <w:noWrap/>
            <w:vAlign w:val="bottom"/>
            <w:hideMark/>
          </w:tcPr>
          <w:p w14:paraId="1CEE136A" w14:textId="77777777" w:rsidR="002A6FD1" w:rsidRDefault="002A6FD1">
            <w:pPr>
              <w:jc w:val="right"/>
              <w:rPr>
                <w:rFonts w:ascii="Calibri" w:hAnsi="Calibri"/>
                <w:color w:val="000000"/>
                <w:sz w:val="22"/>
                <w:szCs w:val="22"/>
              </w:rPr>
            </w:pPr>
            <w:r>
              <w:rPr>
                <w:rFonts w:ascii="Calibri" w:hAnsi="Calibri"/>
                <w:color w:val="000000"/>
                <w:sz w:val="22"/>
                <w:szCs w:val="22"/>
              </w:rPr>
              <w:t>0,05%</w:t>
            </w:r>
          </w:p>
        </w:tc>
      </w:tr>
      <w:tr w:rsidR="002A6FD1" w14:paraId="52BE35B1"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C8C6B5C"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11FFA255" w14:textId="77777777" w:rsidR="002A6FD1" w:rsidRDefault="002A6FD1">
            <w:pPr>
              <w:rPr>
                <w:rFonts w:ascii="Calibri" w:hAnsi="Calibri"/>
                <w:color w:val="000000"/>
                <w:sz w:val="22"/>
                <w:szCs w:val="22"/>
              </w:rPr>
            </w:pPr>
            <w:r>
              <w:rPr>
                <w:rFonts w:ascii="Calibri" w:hAnsi="Calibri"/>
                <w:color w:val="000000"/>
                <w:sz w:val="22"/>
                <w:szCs w:val="22"/>
              </w:rPr>
              <w:t>ОАО "РейлТрансАвто"</w:t>
            </w:r>
          </w:p>
        </w:tc>
        <w:tc>
          <w:tcPr>
            <w:tcW w:w="1220" w:type="dxa"/>
            <w:tcBorders>
              <w:top w:val="nil"/>
              <w:left w:val="nil"/>
              <w:bottom w:val="single" w:sz="4" w:space="0" w:color="auto"/>
              <w:right w:val="single" w:sz="4" w:space="0" w:color="auto"/>
            </w:tcBorders>
            <w:shd w:val="clear" w:color="auto" w:fill="auto"/>
            <w:noWrap/>
            <w:vAlign w:val="bottom"/>
            <w:hideMark/>
          </w:tcPr>
          <w:p w14:paraId="17035EAA" w14:textId="77777777" w:rsidR="002A6FD1" w:rsidRDefault="002A6FD1">
            <w:pPr>
              <w:jc w:val="right"/>
              <w:rPr>
                <w:rFonts w:ascii="Calibri" w:hAnsi="Calibri"/>
                <w:color w:val="000000"/>
                <w:sz w:val="22"/>
                <w:szCs w:val="22"/>
              </w:rPr>
            </w:pPr>
            <w:r>
              <w:rPr>
                <w:rFonts w:ascii="Calibri" w:hAnsi="Calibri"/>
                <w:color w:val="000000"/>
                <w:sz w:val="22"/>
                <w:szCs w:val="22"/>
              </w:rPr>
              <w:t>0,06%</w:t>
            </w:r>
          </w:p>
        </w:tc>
        <w:tc>
          <w:tcPr>
            <w:tcW w:w="1190" w:type="dxa"/>
            <w:tcBorders>
              <w:top w:val="nil"/>
              <w:left w:val="nil"/>
              <w:bottom w:val="single" w:sz="4" w:space="0" w:color="auto"/>
              <w:right w:val="single" w:sz="4" w:space="0" w:color="auto"/>
            </w:tcBorders>
            <w:shd w:val="clear" w:color="auto" w:fill="auto"/>
            <w:noWrap/>
            <w:vAlign w:val="bottom"/>
            <w:hideMark/>
          </w:tcPr>
          <w:p w14:paraId="775353AE" w14:textId="77777777" w:rsidR="002A6FD1" w:rsidRDefault="002A6FD1">
            <w:pPr>
              <w:jc w:val="right"/>
              <w:rPr>
                <w:rFonts w:ascii="Calibri" w:hAnsi="Calibri"/>
                <w:color w:val="000000"/>
                <w:sz w:val="22"/>
                <w:szCs w:val="22"/>
              </w:rPr>
            </w:pPr>
            <w:r>
              <w:rPr>
                <w:rFonts w:ascii="Calibri" w:hAnsi="Calibri"/>
                <w:color w:val="000000"/>
                <w:sz w:val="22"/>
                <w:szCs w:val="22"/>
              </w:rPr>
              <w:t>0,03%</w:t>
            </w:r>
          </w:p>
        </w:tc>
      </w:tr>
      <w:tr w:rsidR="002A6FD1" w14:paraId="773F6A07"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61EAE53"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42129CFD" w14:textId="77777777" w:rsidR="002A6FD1" w:rsidRDefault="002A6FD1">
            <w:pPr>
              <w:rPr>
                <w:rFonts w:ascii="Calibri" w:hAnsi="Calibri"/>
                <w:color w:val="000000"/>
                <w:sz w:val="22"/>
                <w:szCs w:val="22"/>
              </w:rPr>
            </w:pPr>
            <w:r>
              <w:rPr>
                <w:rFonts w:ascii="Calibri" w:hAnsi="Calibri"/>
                <w:color w:val="000000"/>
                <w:sz w:val="22"/>
                <w:szCs w:val="22"/>
              </w:rPr>
              <w:t>ОАО "РЖД"</w:t>
            </w:r>
          </w:p>
        </w:tc>
        <w:tc>
          <w:tcPr>
            <w:tcW w:w="1220" w:type="dxa"/>
            <w:tcBorders>
              <w:top w:val="nil"/>
              <w:left w:val="nil"/>
              <w:bottom w:val="single" w:sz="4" w:space="0" w:color="auto"/>
              <w:right w:val="single" w:sz="4" w:space="0" w:color="auto"/>
            </w:tcBorders>
            <w:shd w:val="clear" w:color="auto" w:fill="auto"/>
            <w:noWrap/>
            <w:vAlign w:val="bottom"/>
            <w:hideMark/>
          </w:tcPr>
          <w:p w14:paraId="5F1D72E5" w14:textId="77777777" w:rsidR="002A6FD1" w:rsidRDefault="002A6FD1">
            <w:pPr>
              <w:jc w:val="right"/>
              <w:rPr>
                <w:rFonts w:ascii="Calibri" w:hAnsi="Calibri"/>
                <w:color w:val="000000"/>
                <w:sz w:val="22"/>
                <w:szCs w:val="22"/>
              </w:rPr>
            </w:pPr>
            <w:r>
              <w:rPr>
                <w:rFonts w:ascii="Calibri" w:hAnsi="Calibri"/>
                <w:color w:val="000000"/>
                <w:sz w:val="22"/>
                <w:szCs w:val="22"/>
              </w:rPr>
              <w:t>0,01%</w:t>
            </w:r>
          </w:p>
        </w:tc>
        <w:tc>
          <w:tcPr>
            <w:tcW w:w="1190" w:type="dxa"/>
            <w:tcBorders>
              <w:top w:val="nil"/>
              <w:left w:val="nil"/>
              <w:bottom w:val="single" w:sz="4" w:space="0" w:color="auto"/>
              <w:right w:val="single" w:sz="4" w:space="0" w:color="auto"/>
            </w:tcBorders>
            <w:shd w:val="clear" w:color="auto" w:fill="auto"/>
            <w:noWrap/>
            <w:vAlign w:val="bottom"/>
            <w:hideMark/>
          </w:tcPr>
          <w:p w14:paraId="07CDA4FE" w14:textId="77777777" w:rsidR="002A6FD1" w:rsidRDefault="002A6FD1">
            <w:pPr>
              <w:jc w:val="right"/>
              <w:rPr>
                <w:rFonts w:ascii="Calibri" w:hAnsi="Calibri"/>
                <w:color w:val="000000"/>
                <w:sz w:val="22"/>
                <w:szCs w:val="22"/>
              </w:rPr>
            </w:pPr>
            <w:r>
              <w:rPr>
                <w:rFonts w:ascii="Calibri" w:hAnsi="Calibri"/>
                <w:color w:val="000000"/>
                <w:sz w:val="22"/>
                <w:szCs w:val="22"/>
              </w:rPr>
              <w:t>0,02%</w:t>
            </w:r>
          </w:p>
        </w:tc>
      </w:tr>
      <w:tr w:rsidR="002A6FD1" w14:paraId="34019755" w14:textId="77777777" w:rsidTr="002A6FD1">
        <w:trPr>
          <w:trHeight w:val="300"/>
        </w:trPr>
        <w:tc>
          <w:tcPr>
            <w:tcW w:w="3420" w:type="dxa"/>
            <w:tcBorders>
              <w:top w:val="nil"/>
              <w:left w:val="single" w:sz="4" w:space="0" w:color="auto"/>
              <w:bottom w:val="single" w:sz="4" w:space="0" w:color="auto"/>
              <w:right w:val="single" w:sz="4" w:space="0" w:color="auto"/>
            </w:tcBorders>
            <w:shd w:val="clear" w:color="000000" w:fill="D9D9D9"/>
            <w:vAlign w:val="bottom"/>
            <w:hideMark/>
          </w:tcPr>
          <w:p w14:paraId="56D392DE" w14:textId="77777777" w:rsidR="002A6FD1" w:rsidRDefault="002A6FD1">
            <w:pPr>
              <w:rPr>
                <w:rFonts w:ascii="Calibri" w:hAnsi="Calibri"/>
                <w:b/>
                <w:bCs/>
                <w:color w:val="000000"/>
                <w:sz w:val="22"/>
                <w:szCs w:val="22"/>
              </w:rPr>
            </w:pPr>
            <w:r>
              <w:rPr>
                <w:rFonts w:ascii="Calibri" w:hAnsi="Calibri"/>
                <w:b/>
                <w:bCs/>
                <w:color w:val="000000"/>
                <w:sz w:val="22"/>
                <w:szCs w:val="22"/>
              </w:rPr>
              <w:t>РЖД Итог</w:t>
            </w:r>
          </w:p>
        </w:tc>
        <w:tc>
          <w:tcPr>
            <w:tcW w:w="4230" w:type="dxa"/>
            <w:tcBorders>
              <w:top w:val="nil"/>
              <w:left w:val="nil"/>
              <w:bottom w:val="single" w:sz="4" w:space="0" w:color="auto"/>
              <w:right w:val="single" w:sz="4" w:space="0" w:color="auto"/>
            </w:tcBorders>
            <w:shd w:val="clear" w:color="000000" w:fill="D9D9D9"/>
            <w:vAlign w:val="bottom"/>
            <w:hideMark/>
          </w:tcPr>
          <w:p w14:paraId="0DB62019" w14:textId="77777777" w:rsidR="002A6FD1" w:rsidRDefault="002A6FD1">
            <w:pPr>
              <w:rPr>
                <w:rFonts w:ascii="Calibri" w:hAnsi="Calibri"/>
                <w:b/>
                <w:bCs/>
                <w:color w:val="000000"/>
                <w:sz w:val="22"/>
                <w:szCs w:val="22"/>
              </w:rPr>
            </w:pPr>
            <w:r>
              <w:rPr>
                <w:rFonts w:ascii="Calibri" w:hAnsi="Calibri"/>
                <w:b/>
                <w:bCs/>
                <w:color w:val="000000"/>
                <w:sz w:val="22"/>
                <w:szCs w:val="22"/>
              </w:rPr>
              <w:t> </w:t>
            </w:r>
          </w:p>
        </w:tc>
        <w:tc>
          <w:tcPr>
            <w:tcW w:w="1220" w:type="dxa"/>
            <w:tcBorders>
              <w:top w:val="nil"/>
              <w:left w:val="nil"/>
              <w:bottom w:val="single" w:sz="4" w:space="0" w:color="auto"/>
              <w:right w:val="single" w:sz="4" w:space="0" w:color="auto"/>
            </w:tcBorders>
            <w:shd w:val="clear" w:color="000000" w:fill="D9D9D9"/>
            <w:noWrap/>
            <w:vAlign w:val="bottom"/>
            <w:hideMark/>
          </w:tcPr>
          <w:p w14:paraId="1EFA2392" w14:textId="77777777" w:rsidR="002A6FD1" w:rsidRDefault="002A6FD1">
            <w:pPr>
              <w:jc w:val="right"/>
              <w:rPr>
                <w:rFonts w:ascii="Calibri" w:hAnsi="Calibri"/>
                <w:b/>
                <w:bCs/>
                <w:color w:val="000000"/>
                <w:sz w:val="22"/>
                <w:szCs w:val="22"/>
              </w:rPr>
            </w:pPr>
            <w:r>
              <w:rPr>
                <w:rFonts w:ascii="Calibri" w:hAnsi="Calibri"/>
                <w:b/>
                <w:bCs/>
                <w:color w:val="000000"/>
                <w:sz w:val="22"/>
                <w:szCs w:val="22"/>
              </w:rPr>
              <w:t>3,02%</w:t>
            </w:r>
          </w:p>
        </w:tc>
        <w:tc>
          <w:tcPr>
            <w:tcW w:w="1190" w:type="dxa"/>
            <w:tcBorders>
              <w:top w:val="nil"/>
              <w:left w:val="nil"/>
              <w:bottom w:val="single" w:sz="4" w:space="0" w:color="auto"/>
              <w:right w:val="single" w:sz="4" w:space="0" w:color="auto"/>
            </w:tcBorders>
            <w:shd w:val="clear" w:color="000000" w:fill="D9D9D9"/>
            <w:noWrap/>
            <w:vAlign w:val="bottom"/>
            <w:hideMark/>
          </w:tcPr>
          <w:p w14:paraId="7D334C43" w14:textId="77777777" w:rsidR="002A6FD1" w:rsidRDefault="002A6FD1">
            <w:pPr>
              <w:jc w:val="right"/>
              <w:rPr>
                <w:rFonts w:ascii="Calibri" w:hAnsi="Calibri"/>
                <w:b/>
                <w:bCs/>
                <w:color w:val="000000"/>
                <w:sz w:val="22"/>
                <w:szCs w:val="22"/>
              </w:rPr>
            </w:pPr>
            <w:r>
              <w:rPr>
                <w:rFonts w:ascii="Calibri" w:hAnsi="Calibri"/>
                <w:b/>
                <w:bCs/>
                <w:color w:val="000000"/>
                <w:sz w:val="22"/>
                <w:szCs w:val="22"/>
              </w:rPr>
              <w:t>2,93%</w:t>
            </w:r>
          </w:p>
        </w:tc>
      </w:tr>
      <w:tr w:rsidR="002A6FD1" w14:paraId="4D9429AE"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C176E6C" w14:textId="77777777" w:rsidR="002A6FD1" w:rsidRDefault="002A6FD1">
            <w:pPr>
              <w:rPr>
                <w:rFonts w:ascii="Calibri" w:hAnsi="Calibri"/>
                <w:color w:val="000000"/>
                <w:sz w:val="22"/>
                <w:szCs w:val="22"/>
              </w:rPr>
            </w:pPr>
            <w:r>
              <w:rPr>
                <w:rFonts w:ascii="Calibri" w:hAnsi="Calibri"/>
                <w:color w:val="000000"/>
                <w:sz w:val="22"/>
                <w:szCs w:val="22"/>
              </w:rPr>
              <w:t>ПАО ВМПТ</w:t>
            </w:r>
          </w:p>
        </w:tc>
        <w:tc>
          <w:tcPr>
            <w:tcW w:w="4230" w:type="dxa"/>
            <w:tcBorders>
              <w:top w:val="nil"/>
              <w:left w:val="nil"/>
              <w:bottom w:val="single" w:sz="4" w:space="0" w:color="auto"/>
              <w:right w:val="single" w:sz="4" w:space="0" w:color="auto"/>
            </w:tcBorders>
            <w:shd w:val="clear" w:color="auto" w:fill="auto"/>
            <w:vAlign w:val="bottom"/>
            <w:hideMark/>
          </w:tcPr>
          <w:p w14:paraId="69F3F734" w14:textId="77777777" w:rsidR="002A6FD1" w:rsidRDefault="002A6FD1">
            <w:pPr>
              <w:rPr>
                <w:rFonts w:ascii="Calibri" w:hAnsi="Calibri"/>
                <w:color w:val="000000"/>
                <w:sz w:val="22"/>
                <w:szCs w:val="22"/>
              </w:rPr>
            </w:pPr>
            <w:r>
              <w:rPr>
                <w:rFonts w:ascii="Calibri" w:hAnsi="Calibri"/>
                <w:color w:val="000000"/>
                <w:sz w:val="22"/>
                <w:szCs w:val="22"/>
              </w:rPr>
              <w:t>ООО "ДАЛЬРЕФТРАНС"</w:t>
            </w:r>
          </w:p>
        </w:tc>
        <w:tc>
          <w:tcPr>
            <w:tcW w:w="1220" w:type="dxa"/>
            <w:tcBorders>
              <w:top w:val="nil"/>
              <w:left w:val="nil"/>
              <w:bottom w:val="single" w:sz="4" w:space="0" w:color="auto"/>
              <w:right w:val="single" w:sz="4" w:space="0" w:color="auto"/>
            </w:tcBorders>
            <w:shd w:val="clear" w:color="auto" w:fill="auto"/>
            <w:noWrap/>
            <w:vAlign w:val="bottom"/>
            <w:hideMark/>
          </w:tcPr>
          <w:p w14:paraId="4F5F7B27" w14:textId="77777777" w:rsidR="002A6FD1" w:rsidRDefault="002A6FD1">
            <w:pPr>
              <w:jc w:val="right"/>
              <w:rPr>
                <w:rFonts w:ascii="Calibri" w:hAnsi="Calibri"/>
                <w:color w:val="000000"/>
                <w:sz w:val="22"/>
                <w:szCs w:val="22"/>
              </w:rPr>
            </w:pPr>
            <w:r>
              <w:rPr>
                <w:rFonts w:ascii="Calibri" w:hAnsi="Calibri"/>
                <w:color w:val="000000"/>
                <w:sz w:val="22"/>
                <w:szCs w:val="22"/>
              </w:rPr>
              <w:t>1,16%</w:t>
            </w:r>
          </w:p>
        </w:tc>
        <w:tc>
          <w:tcPr>
            <w:tcW w:w="1190" w:type="dxa"/>
            <w:tcBorders>
              <w:top w:val="nil"/>
              <w:left w:val="nil"/>
              <w:bottom w:val="single" w:sz="4" w:space="0" w:color="auto"/>
              <w:right w:val="single" w:sz="4" w:space="0" w:color="auto"/>
            </w:tcBorders>
            <w:shd w:val="clear" w:color="auto" w:fill="auto"/>
            <w:noWrap/>
            <w:vAlign w:val="bottom"/>
            <w:hideMark/>
          </w:tcPr>
          <w:p w14:paraId="1D046B46" w14:textId="77777777" w:rsidR="002A6FD1" w:rsidRDefault="002A6FD1">
            <w:pPr>
              <w:jc w:val="right"/>
              <w:rPr>
                <w:rFonts w:ascii="Calibri" w:hAnsi="Calibri"/>
                <w:color w:val="000000"/>
                <w:sz w:val="22"/>
                <w:szCs w:val="22"/>
              </w:rPr>
            </w:pPr>
            <w:r>
              <w:rPr>
                <w:rFonts w:ascii="Calibri" w:hAnsi="Calibri"/>
                <w:color w:val="000000"/>
                <w:sz w:val="22"/>
                <w:szCs w:val="22"/>
              </w:rPr>
              <w:t>1,04%</w:t>
            </w:r>
          </w:p>
        </w:tc>
      </w:tr>
      <w:tr w:rsidR="002A6FD1" w14:paraId="6C36F6AD" w14:textId="77777777" w:rsidTr="002A6FD1">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80FDC77"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23899C6C" w14:textId="77777777" w:rsidR="002A6FD1" w:rsidRDefault="002A6FD1">
            <w:pPr>
              <w:rPr>
                <w:rFonts w:ascii="Calibri" w:hAnsi="Calibri"/>
                <w:color w:val="000000"/>
                <w:sz w:val="22"/>
                <w:szCs w:val="22"/>
              </w:rPr>
            </w:pPr>
            <w:r>
              <w:rPr>
                <w:rFonts w:ascii="Calibri" w:hAnsi="Calibri"/>
                <w:color w:val="000000"/>
                <w:sz w:val="22"/>
                <w:szCs w:val="22"/>
              </w:rPr>
              <w:t>ООО "ВЛАДИВОСТОКСКИЙ АВТОМОБИЛЬНЫЙ ТЕРМИНАЛ"</w:t>
            </w:r>
          </w:p>
        </w:tc>
        <w:tc>
          <w:tcPr>
            <w:tcW w:w="1220" w:type="dxa"/>
            <w:tcBorders>
              <w:top w:val="nil"/>
              <w:left w:val="nil"/>
              <w:bottom w:val="single" w:sz="4" w:space="0" w:color="auto"/>
              <w:right w:val="single" w:sz="4" w:space="0" w:color="auto"/>
            </w:tcBorders>
            <w:shd w:val="clear" w:color="auto" w:fill="auto"/>
            <w:noWrap/>
            <w:vAlign w:val="bottom"/>
            <w:hideMark/>
          </w:tcPr>
          <w:p w14:paraId="714290E1" w14:textId="77777777" w:rsidR="002A6FD1" w:rsidRDefault="002A6FD1">
            <w:pPr>
              <w:jc w:val="right"/>
              <w:rPr>
                <w:rFonts w:ascii="Calibri" w:hAnsi="Calibri"/>
                <w:color w:val="000000"/>
                <w:sz w:val="22"/>
                <w:szCs w:val="22"/>
              </w:rPr>
            </w:pPr>
            <w:r>
              <w:rPr>
                <w:rFonts w:ascii="Calibri" w:hAnsi="Calibri"/>
                <w:color w:val="000000"/>
                <w:sz w:val="22"/>
                <w:szCs w:val="22"/>
              </w:rPr>
              <w:t>0,99%</w:t>
            </w:r>
          </w:p>
        </w:tc>
        <w:tc>
          <w:tcPr>
            <w:tcW w:w="1190" w:type="dxa"/>
            <w:tcBorders>
              <w:top w:val="nil"/>
              <w:left w:val="nil"/>
              <w:bottom w:val="single" w:sz="4" w:space="0" w:color="auto"/>
              <w:right w:val="single" w:sz="4" w:space="0" w:color="auto"/>
            </w:tcBorders>
            <w:shd w:val="clear" w:color="auto" w:fill="auto"/>
            <w:noWrap/>
            <w:vAlign w:val="bottom"/>
            <w:hideMark/>
          </w:tcPr>
          <w:p w14:paraId="21BD0A0A" w14:textId="77777777" w:rsidR="002A6FD1" w:rsidRDefault="002A6FD1">
            <w:pPr>
              <w:jc w:val="right"/>
              <w:rPr>
                <w:rFonts w:ascii="Calibri" w:hAnsi="Calibri"/>
                <w:color w:val="000000"/>
                <w:sz w:val="22"/>
                <w:szCs w:val="22"/>
              </w:rPr>
            </w:pPr>
            <w:r>
              <w:rPr>
                <w:rFonts w:ascii="Calibri" w:hAnsi="Calibri"/>
                <w:color w:val="000000"/>
                <w:sz w:val="22"/>
                <w:szCs w:val="22"/>
              </w:rPr>
              <w:t>0,89%</w:t>
            </w:r>
          </w:p>
        </w:tc>
      </w:tr>
      <w:tr w:rsidR="002A6FD1" w14:paraId="7F35866A"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3A22AE9"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4F54DB06" w14:textId="77777777" w:rsidR="002A6FD1" w:rsidRDefault="002A6FD1">
            <w:pPr>
              <w:rPr>
                <w:rFonts w:ascii="Calibri" w:hAnsi="Calibri"/>
                <w:color w:val="000000"/>
                <w:sz w:val="22"/>
                <w:szCs w:val="22"/>
              </w:rPr>
            </w:pPr>
            <w:r>
              <w:rPr>
                <w:rFonts w:ascii="Calibri" w:hAnsi="Calibri"/>
                <w:color w:val="000000"/>
                <w:sz w:val="22"/>
                <w:szCs w:val="22"/>
              </w:rPr>
              <w:t>ООО "ФЕМСТА"</w:t>
            </w:r>
          </w:p>
        </w:tc>
        <w:tc>
          <w:tcPr>
            <w:tcW w:w="1220" w:type="dxa"/>
            <w:tcBorders>
              <w:top w:val="nil"/>
              <w:left w:val="nil"/>
              <w:bottom w:val="single" w:sz="4" w:space="0" w:color="auto"/>
              <w:right w:val="single" w:sz="4" w:space="0" w:color="auto"/>
            </w:tcBorders>
            <w:shd w:val="clear" w:color="auto" w:fill="auto"/>
            <w:noWrap/>
            <w:vAlign w:val="bottom"/>
            <w:hideMark/>
          </w:tcPr>
          <w:p w14:paraId="05635FBB" w14:textId="77777777" w:rsidR="002A6FD1" w:rsidRDefault="002A6FD1">
            <w:pPr>
              <w:jc w:val="right"/>
              <w:rPr>
                <w:rFonts w:ascii="Calibri" w:hAnsi="Calibri"/>
                <w:color w:val="000000"/>
                <w:sz w:val="22"/>
                <w:szCs w:val="22"/>
              </w:rPr>
            </w:pPr>
            <w:r>
              <w:rPr>
                <w:rFonts w:ascii="Calibri" w:hAnsi="Calibri"/>
                <w:color w:val="000000"/>
                <w:sz w:val="22"/>
                <w:szCs w:val="22"/>
              </w:rPr>
              <w:t>0,28%</w:t>
            </w:r>
          </w:p>
        </w:tc>
        <w:tc>
          <w:tcPr>
            <w:tcW w:w="1190" w:type="dxa"/>
            <w:tcBorders>
              <w:top w:val="nil"/>
              <w:left w:val="nil"/>
              <w:bottom w:val="single" w:sz="4" w:space="0" w:color="auto"/>
              <w:right w:val="single" w:sz="4" w:space="0" w:color="auto"/>
            </w:tcBorders>
            <w:shd w:val="clear" w:color="auto" w:fill="auto"/>
            <w:noWrap/>
            <w:vAlign w:val="bottom"/>
            <w:hideMark/>
          </w:tcPr>
          <w:p w14:paraId="505C47A6" w14:textId="77777777" w:rsidR="002A6FD1" w:rsidRDefault="002A6FD1">
            <w:pPr>
              <w:jc w:val="right"/>
              <w:rPr>
                <w:rFonts w:ascii="Calibri" w:hAnsi="Calibri"/>
                <w:color w:val="000000"/>
                <w:sz w:val="22"/>
                <w:szCs w:val="22"/>
              </w:rPr>
            </w:pPr>
            <w:r>
              <w:rPr>
                <w:rFonts w:ascii="Calibri" w:hAnsi="Calibri"/>
                <w:color w:val="000000"/>
                <w:sz w:val="22"/>
                <w:szCs w:val="22"/>
              </w:rPr>
              <w:t>0,34%</w:t>
            </w:r>
          </w:p>
        </w:tc>
      </w:tr>
      <w:tr w:rsidR="002A6FD1" w14:paraId="25EC25DF" w14:textId="77777777" w:rsidTr="002A6FD1">
        <w:trPr>
          <w:trHeight w:val="300"/>
        </w:trPr>
        <w:tc>
          <w:tcPr>
            <w:tcW w:w="3420" w:type="dxa"/>
            <w:tcBorders>
              <w:top w:val="nil"/>
              <w:left w:val="single" w:sz="4" w:space="0" w:color="auto"/>
              <w:bottom w:val="single" w:sz="4" w:space="0" w:color="auto"/>
              <w:right w:val="single" w:sz="4" w:space="0" w:color="auto"/>
            </w:tcBorders>
            <w:shd w:val="clear" w:color="000000" w:fill="D9D9D9"/>
            <w:vAlign w:val="bottom"/>
            <w:hideMark/>
          </w:tcPr>
          <w:p w14:paraId="43728BEA" w14:textId="77777777" w:rsidR="002A6FD1" w:rsidRDefault="002A6FD1">
            <w:pPr>
              <w:rPr>
                <w:rFonts w:ascii="Calibri" w:hAnsi="Calibri"/>
                <w:b/>
                <w:bCs/>
                <w:color w:val="000000"/>
                <w:sz w:val="22"/>
                <w:szCs w:val="22"/>
              </w:rPr>
            </w:pPr>
            <w:r>
              <w:rPr>
                <w:rFonts w:ascii="Calibri" w:hAnsi="Calibri"/>
                <w:b/>
                <w:bCs/>
                <w:color w:val="000000"/>
                <w:sz w:val="22"/>
                <w:szCs w:val="22"/>
              </w:rPr>
              <w:t>ПАО ВМПТ Итог</w:t>
            </w:r>
          </w:p>
        </w:tc>
        <w:tc>
          <w:tcPr>
            <w:tcW w:w="4230" w:type="dxa"/>
            <w:tcBorders>
              <w:top w:val="nil"/>
              <w:left w:val="nil"/>
              <w:bottom w:val="single" w:sz="4" w:space="0" w:color="auto"/>
              <w:right w:val="single" w:sz="4" w:space="0" w:color="auto"/>
            </w:tcBorders>
            <w:shd w:val="clear" w:color="000000" w:fill="D9D9D9"/>
            <w:vAlign w:val="bottom"/>
            <w:hideMark/>
          </w:tcPr>
          <w:p w14:paraId="1C6E7025" w14:textId="77777777" w:rsidR="002A6FD1" w:rsidRDefault="002A6FD1">
            <w:pPr>
              <w:rPr>
                <w:rFonts w:ascii="Calibri" w:hAnsi="Calibri"/>
                <w:b/>
                <w:bCs/>
                <w:color w:val="000000"/>
                <w:sz w:val="22"/>
                <w:szCs w:val="22"/>
              </w:rPr>
            </w:pPr>
            <w:r>
              <w:rPr>
                <w:rFonts w:ascii="Calibri" w:hAnsi="Calibri"/>
                <w:b/>
                <w:bCs/>
                <w:color w:val="000000"/>
                <w:sz w:val="22"/>
                <w:szCs w:val="22"/>
              </w:rPr>
              <w:t> </w:t>
            </w:r>
          </w:p>
        </w:tc>
        <w:tc>
          <w:tcPr>
            <w:tcW w:w="1220" w:type="dxa"/>
            <w:tcBorders>
              <w:top w:val="nil"/>
              <w:left w:val="nil"/>
              <w:bottom w:val="single" w:sz="4" w:space="0" w:color="auto"/>
              <w:right w:val="single" w:sz="4" w:space="0" w:color="auto"/>
            </w:tcBorders>
            <w:shd w:val="clear" w:color="000000" w:fill="D9D9D9"/>
            <w:noWrap/>
            <w:vAlign w:val="bottom"/>
            <w:hideMark/>
          </w:tcPr>
          <w:p w14:paraId="53D0F0A4" w14:textId="77777777" w:rsidR="002A6FD1" w:rsidRDefault="002A6FD1">
            <w:pPr>
              <w:jc w:val="right"/>
              <w:rPr>
                <w:rFonts w:ascii="Calibri" w:hAnsi="Calibri"/>
                <w:b/>
                <w:bCs/>
                <w:color w:val="000000"/>
                <w:sz w:val="22"/>
                <w:szCs w:val="22"/>
              </w:rPr>
            </w:pPr>
            <w:r>
              <w:rPr>
                <w:rFonts w:ascii="Calibri" w:hAnsi="Calibri"/>
                <w:b/>
                <w:bCs/>
                <w:color w:val="000000"/>
                <w:sz w:val="22"/>
                <w:szCs w:val="22"/>
              </w:rPr>
              <w:t>2,43%</w:t>
            </w:r>
          </w:p>
        </w:tc>
        <w:tc>
          <w:tcPr>
            <w:tcW w:w="1190" w:type="dxa"/>
            <w:tcBorders>
              <w:top w:val="nil"/>
              <w:left w:val="nil"/>
              <w:bottom w:val="single" w:sz="4" w:space="0" w:color="auto"/>
              <w:right w:val="single" w:sz="4" w:space="0" w:color="auto"/>
            </w:tcBorders>
            <w:shd w:val="clear" w:color="000000" w:fill="D9D9D9"/>
            <w:noWrap/>
            <w:vAlign w:val="bottom"/>
            <w:hideMark/>
          </w:tcPr>
          <w:p w14:paraId="11AC9C12" w14:textId="77777777" w:rsidR="002A6FD1" w:rsidRDefault="002A6FD1">
            <w:pPr>
              <w:jc w:val="right"/>
              <w:rPr>
                <w:rFonts w:ascii="Calibri" w:hAnsi="Calibri"/>
                <w:b/>
                <w:bCs/>
                <w:color w:val="000000"/>
                <w:sz w:val="22"/>
                <w:szCs w:val="22"/>
              </w:rPr>
            </w:pPr>
            <w:r>
              <w:rPr>
                <w:rFonts w:ascii="Calibri" w:hAnsi="Calibri"/>
                <w:b/>
                <w:bCs/>
                <w:color w:val="000000"/>
                <w:sz w:val="22"/>
                <w:szCs w:val="22"/>
              </w:rPr>
              <w:t>2,27%</w:t>
            </w:r>
          </w:p>
        </w:tc>
      </w:tr>
      <w:tr w:rsidR="002A6FD1" w14:paraId="6743A8D8"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F75B2DA" w14:textId="77777777" w:rsidR="002A6FD1" w:rsidRDefault="002A6FD1">
            <w:pPr>
              <w:rPr>
                <w:rFonts w:ascii="Calibri" w:hAnsi="Calibri"/>
                <w:color w:val="000000"/>
                <w:sz w:val="22"/>
                <w:szCs w:val="22"/>
              </w:rPr>
            </w:pPr>
            <w:r>
              <w:rPr>
                <w:rFonts w:ascii="Calibri" w:hAnsi="Calibri"/>
                <w:color w:val="000000"/>
                <w:sz w:val="22"/>
                <w:szCs w:val="22"/>
              </w:rPr>
              <w:t>ДХЛ Интернешнл</w:t>
            </w:r>
          </w:p>
        </w:tc>
        <w:tc>
          <w:tcPr>
            <w:tcW w:w="4230" w:type="dxa"/>
            <w:tcBorders>
              <w:top w:val="nil"/>
              <w:left w:val="nil"/>
              <w:bottom w:val="single" w:sz="4" w:space="0" w:color="auto"/>
              <w:right w:val="single" w:sz="4" w:space="0" w:color="auto"/>
            </w:tcBorders>
            <w:shd w:val="clear" w:color="auto" w:fill="auto"/>
            <w:vAlign w:val="bottom"/>
            <w:hideMark/>
          </w:tcPr>
          <w:p w14:paraId="115B430B" w14:textId="77777777" w:rsidR="002A6FD1" w:rsidRDefault="002A6FD1">
            <w:pPr>
              <w:rPr>
                <w:rFonts w:ascii="Calibri" w:hAnsi="Calibri"/>
                <w:color w:val="000000"/>
                <w:sz w:val="22"/>
                <w:szCs w:val="22"/>
              </w:rPr>
            </w:pPr>
            <w:r>
              <w:rPr>
                <w:rFonts w:ascii="Calibri" w:hAnsi="Calibri"/>
                <w:color w:val="000000"/>
                <w:sz w:val="22"/>
                <w:szCs w:val="22"/>
              </w:rPr>
              <w:t>АО "ДХЛ ИНТЕРНЕШНЛ"</w:t>
            </w:r>
          </w:p>
        </w:tc>
        <w:tc>
          <w:tcPr>
            <w:tcW w:w="1220" w:type="dxa"/>
            <w:tcBorders>
              <w:top w:val="nil"/>
              <w:left w:val="nil"/>
              <w:bottom w:val="single" w:sz="4" w:space="0" w:color="auto"/>
              <w:right w:val="single" w:sz="4" w:space="0" w:color="auto"/>
            </w:tcBorders>
            <w:shd w:val="clear" w:color="auto" w:fill="auto"/>
            <w:noWrap/>
            <w:vAlign w:val="bottom"/>
            <w:hideMark/>
          </w:tcPr>
          <w:p w14:paraId="7527BB8F" w14:textId="77777777" w:rsidR="002A6FD1" w:rsidRDefault="002A6FD1">
            <w:pPr>
              <w:jc w:val="right"/>
              <w:rPr>
                <w:rFonts w:ascii="Calibri" w:hAnsi="Calibri"/>
                <w:color w:val="000000"/>
                <w:sz w:val="22"/>
                <w:szCs w:val="22"/>
              </w:rPr>
            </w:pPr>
            <w:r>
              <w:rPr>
                <w:rFonts w:ascii="Calibri" w:hAnsi="Calibri"/>
                <w:color w:val="000000"/>
                <w:sz w:val="22"/>
                <w:szCs w:val="22"/>
              </w:rPr>
              <w:t>1,50%</w:t>
            </w:r>
          </w:p>
        </w:tc>
        <w:tc>
          <w:tcPr>
            <w:tcW w:w="1190" w:type="dxa"/>
            <w:tcBorders>
              <w:top w:val="nil"/>
              <w:left w:val="nil"/>
              <w:bottom w:val="single" w:sz="4" w:space="0" w:color="auto"/>
              <w:right w:val="single" w:sz="4" w:space="0" w:color="auto"/>
            </w:tcBorders>
            <w:shd w:val="clear" w:color="auto" w:fill="auto"/>
            <w:noWrap/>
            <w:vAlign w:val="bottom"/>
            <w:hideMark/>
          </w:tcPr>
          <w:p w14:paraId="1053507E" w14:textId="77777777" w:rsidR="002A6FD1" w:rsidRDefault="002A6FD1">
            <w:pPr>
              <w:jc w:val="right"/>
              <w:rPr>
                <w:rFonts w:ascii="Calibri" w:hAnsi="Calibri"/>
                <w:color w:val="000000"/>
                <w:sz w:val="22"/>
                <w:szCs w:val="22"/>
              </w:rPr>
            </w:pPr>
            <w:r>
              <w:rPr>
                <w:rFonts w:ascii="Calibri" w:hAnsi="Calibri"/>
                <w:color w:val="000000"/>
                <w:sz w:val="22"/>
                <w:szCs w:val="22"/>
              </w:rPr>
              <w:t>1,18%</w:t>
            </w:r>
          </w:p>
        </w:tc>
      </w:tr>
      <w:tr w:rsidR="002A6FD1" w14:paraId="49037CC3"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9B153B7"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12E566E1" w14:textId="77777777" w:rsidR="002A6FD1" w:rsidRDefault="002A6FD1">
            <w:pPr>
              <w:rPr>
                <w:rFonts w:ascii="Calibri" w:hAnsi="Calibri"/>
                <w:color w:val="000000"/>
                <w:sz w:val="22"/>
                <w:szCs w:val="22"/>
              </w:rPr>
            </w:pPr>
            <w:r>
              <w:rPr>
                <w:rFonts w:ascii="Calibri" w:hAnsi="Calibri"/>
                <w:color w:val="000000"/>
                <w:sz w:val="22"/>
                <w:szCs w:val="22"/>
              </w:rPr>
              <w:t>ООО "ДХЛ ЛОГИСТИКА"</w:t>
            </w:r>
          </w:p>
        </w:tc>
        <w:tc>
          <w:tcPr>
            <w:tcW w:w="1220" w:type="dxa"/>
            <w:tcBorders>
              <w:top w:val="nil"/>
              <w:left w:val="nil"/>
              <w:bottom w:val="single" w:sz="4" w:space="0" w:color="auto"/>
              <w:right w:val="single" w:sz="4" w:space="0" w:color="auto"/>
            </w:tcBorders>
            <w:shd w:val="clear" w:color="auto" w:fill="auto"/>
            <w:noWrap/>
            <w:vAlign w:val="bottom"/>
            <w:hideMark/>
          </w:tcPr>
          <w:p w14:paraId="05A87F96" w14:textId="77777777" w:rsidR="002A6FD1" w:rsidRDefault="002A6FD1">
            <w:pPr>
              <w:jc w:val="right"/>
              <w:rPr>
                <w:rFonts w:ascii="Calibri" w:hAnsi="Calibri"/>
                <w:color w:val="000000"/>
                <w:sz w:val="22"/>
                <w:szCs w:val="22"/>
              </w:rPr>
            </w:pPr>
            <w:r>
              <w:rPr>
                <w:rFonts w:ascii="Calibri" w:hAnsi="Calibri"/>
                <w:color w:val="000000"/>
                <w:sz w:val="22"/>
                <w:szCs w:val="22"/>
              </w:rPr>
              <w:t>0,78%</w:t>
            </w:r>
          </w:p>
        </w:tc>
        <w:tc>
          <w:tcPr>
            <w:tcW w:w="1190" w:type="dxa"/>
            <w:tcBorders>
              <w:top w:val="nil"/>
              <w:left w:val="nil"/>
              <w:bottom w:val="single" w:sz="4" w:space="0" w:color="auto"/>
              <w:right w:val="single" w:sz="4" w:space="0" w:color="auto"/>
            </w:tcBorders>
            <w:shd w:val="clear" w:color="auto" w:fill="auto"/>
            <w:noWrap/>
            <w:vAlign w:val="bottom"/>
            <w:hideMark/>
          </w:tcPr>
          <w:p w14:paraId="2C3359A9" w14:textId="77777777" w:rsidR="002A6FD1" w:rsidRDefault="002A6FD1">
            <w:pPr>
              <w:jc w:val="right"/>
              <w:rPr>
                <w:rFonts w:ascii="Calibri" w:hAnsi="Calibri"/>
                <w:color w:val="000000"/>
                <w:sz w:val="22"/>
                <w:szCs w:val="22"/>
              </w:rPr>
            </w:pPr>
            <w:r>
              <w:rPr>
                <w:rFonts w:ascii="Calibri" w:hAnsi="Calibri"/>
                <w:color w:val="000000"/>
                <w:sz w:val="22"/>
                <w:szCs w:val="22"/>
              </w:rPr>
              <w:t>1,56%</w:t>
            </w:r>
          </w:p>
        </w:tc>
      </w:tr>
      <w:tr w:rsidR="002A6FD1" w14:paraId="24DE8262" w14:textId="77777777" w:rsidTr="002A6FD1">
        <w:trPr>
          <w:trHeight w:val="300"/>
        </w:trPr>
        <w:tc>
          <w:tcPr>
            <w:tcW w:w="3420" w:type="dxa"/>
            <w:tcBorders>
              <w:top w:val="nil"/>
              <w:left w:val="single" w:sz="4" w:space="0" w:color="auto"/>
              <w:bottom w:val="single" w:sz="4" w:space="0" w:color="auto"/>
              <w:right w:val="single" w:sz="4" w:space="0" w:color="auto"/>
            </w:tcBorders>
            <w:shd w:val="clear" w:color="000000" w:fill="D9D9D9"/>
            <w:vAlign w:val="bottom"/>
            <w:hideMark/>
          </w:tcPr>
          <w:p w14:paraId="25D632E9" w14:textId="77777777" w:rsidR="002A6FD1" w:rsidRDefault="002A6FD1">
            <w:pPr>
              <w:rPr>
                <w:rFonts w:ascii="Calibri" w:hAnsi="Calibri"/>
                <w:b/>
                <w:bCs/>
                <w:color w:val="000000"/>
                <w:sz w:val="22"/>
                <w:szCs w:val="22"/>
              </w:rPr>
            </w:pPr>
            <w:r>
              <w:rPr>
                <w:rFonts w:ascii="Calibri" w:hAnsi="Calibri"/>
                <w:b/>
                <w:bCs/>
                <w:color w:val="000000"/>
                <w:sz w:val="22"/>
                <w:szCs w:val="22"/>
              </w:rPr>
              <w:t>ДХЛ Интернешнл Итог</w:t>
            </w:r>
          </w:p>
        </w:tc>
        <w:tc>
          <w:tcPr>
            <w:tcW w:w="4230" w:type="dxa"/>
            <w:tcBorders>
              <w:top w:val="nil"/>
              <w:left w:val="nil"/>
              <w:bottom w:val="single" w:sz="4" w:space="0" w:color="auto"/>
              <w:right w:val="single" w:sz="4" w:space="0" w:color="auto"/>
            </w:tcBorders>
            <w:shd w:val="clear" w:color="000000" w:fill="D9D9D9"/>
            <w:vAlign w:val="bottom"/>
            <w:hideMark/>
          </w:tcPr>
          <w:p w14:paraId="256BE7F7" w14:textId="77777777" w:rsidR="002A6FD1" w:rsidRDefault="002A6FD1">
            <w:pPr>
              <w:rPr>
                <w:rFonts w:ascii="Calibri" w:hAnsi="Calibri"/>
                <w:b/>
                <w:bCs/>
                <w:color w:val="000000"/>
                <w:sz w:val="22"/>
                <w:szCs w:val="22"/>
              </w:rPr>
            </w:pPr>
            <w:r>
              <w:rPr>
                <w:rFonts w:ascii="Calibri" w:hAnsi="Calibri"/>
                <w:b/>
                <w:bCs/>
                <w:color w:val="000000"/>
                <w:sz w:val="22"/>
                <w:szCs w:val="22"/>
              </w:rPr>
              <w:t> </w:t>
            </w:r>
          </w:p>
        </w:tc>
        <w:tc>
          <w:tcPr>
            <w:tcW w:w="1220" w:type="dxa"/>
            <w:tcBorders>
              <w:top w:val="nil"/>
              <w:left w:val="nil"/>
              <w:bottom w:val="single" w:sz="4" w:space="0" w:color="auto"/>
              <w:right w:val="single" w:sz="4" w:space="0" w:color="auto"/>
            </w:tcBorders>
            <w:shd w:val="clear" w:color="000000" w:fill="D9D9D9"/>
            <w:noWrap/>
            <w:vAlign w:val="bottom"/>
            <w:hideMark/>
          </w:tcPr>
          <w:p w14:paraId="37AEC7F9" w14:textId="77777777" w:rsidR="002A6FD1" w:rsidRDefault="002A6FD1">
            <w:pPr>
              <w:jc w:val="right"/>
              <w:rPr>
                <w:rFonts w:ascii="Calibri" w:hAnsi="Calibri"/>
                <w:b/>
                <w:bCs/>
                <w:color w:val="000000"/>
                <w:sz w:val="22"/>
                <w:szCs w:val="22"/>
              </w:rPr>
            </w:pPr>
            <w:r>
              <w:rPr>
                <w:rFonts w:ascii="Calibri" w:hAnsi="Calibri"/>
                <w:b/>
                <w:bCs/>
                <w:color w:val="000000"/>
                <w:sz w:val="22"/>
                <w:szCs w:val="22"/>
              </w:rPr>
              <w:t>2,28%</w:t>
            </w:r>
          </w:p>
        </w:tc>
        <w:tc>
          <w:tcPr>
            <w:tcW w:w="1190" w:type="dxa"/>
            <w:tcBorders>
              <w:top w:val="nil"/>
              <w:left w:val="nil"/>
              <w:bottom w:val="single" w:sz="4" w:space="0" w:color="auto"/>
              <w:right w:val="single" w:sz="4" w:space="0" w:color="auto"/>
            </w:tcBorders>
            <w:shd w:val="clear" w:color="000000" w:fill="D9D9D9"/>
            <w:noWrap/>
            <w:vAlign w:val="bottom"/>
            <w:hideMark/>
          </w:tcPr>
          <w:p w14:paraId="473A5BBF" w14:textId="77777777" w:rsidR="002A6FD1" w:rsidRDefault="002A6FD1">
            <w:pPr>
              <w:jc w:val="right"/>
              <w:rPr>
                <w:rFonts w:ascii="Calibri" w:hAnsi="Calibri"/>
                <w:b/>
                <w:bCs/>
                <w:color w:val="000000"/>
                <w:sz w:val="22"/>
                <w:szCs w:val="22"/>
              </w:rPr>
            </w:pPr>
            <w:r>
              <w:rPr>
                <w:rFonts w:ascii="Calibri" w:hAnsi="Calibri"/>
                <w:b/>
                <w:bCs/>
                <w:color w:val="000000"/>
                <w:sz w:val="22"/>
                <w:szCs w:val="22"/>
              </w:rPr>
              <w:t>2,74%</w:t>
            </w:r>
          </w:p>
        </w:tc>
      </w:tr>
      <w:tr w:rsidR="002A6FD1" w14:paraId="2DAE4800" w14:textId="77777777" w:rsidTr="002A6FD1">
        <w:trPr>
          <w:trHeight w:val="6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73CB4D5" w14:textId="77777777" w:rsidR="002A6FD1" w:rsidRDefault="002A6FD1">
            <w:pPr>
              <w:rPr>
                <w:rFonts w:ascii="Calibri" w:hAnsi="Calibri"/>
                <w:color w:val="000000"/>
                <w:sz w:val="22"/>
                <w:szCs w:val="22"/>
              </w:rPr>
            </w:pPr>
            <w:r>
              <w:rPr>
                <w:rFonts w:ascii="Calibri" w:hAnsi="Calibri"/>
                <w:color w:val="000000"/>
                <w:sz w:val="22"/>
                <w:szCs w:val="22"/>
              </w:rPr>
              <w:t>Дело-Центр</w:t>
            </w:r>
          </w:p>
        </w:tc>
        <w:tc>
          <w:tcPr>
            <w:tcW w:w="4230" w:type="dxa"/>
            <w:tcBorders>
              <w:top w:val="nil"/>
              <w:left w:val="nil"/>
              <w:bottom w:val="single" w:sz="4" w:space="0" w:color="auto"/>
              <w:right w:val="single" w:sz="4" w:space="0" w:color="auto"/>
            </w:tcBorders>
            <w:shd w:val="clear" w:color="auto" w:fill="auto"/>
            <w:vAlign w:val="bottom"/>
            <w:hideMark/>
          </w:tcPr>
          <w:p w14:paraId="3EF210F1" w14:textId="77777777" w:rsidR="002A6FD1" w:rsidRDefault="002A6FD1">
            <w:pPr>
              <w:rPr>
                <w:rFonts w:ascii="Calibri" w:hAnsi="Calibri"/>
                <w:color w:val="000000"/>
                <w:sz w:val="22"/>
                <w:szCs w:val="22"/>
              </w:rPr>
            </w:pPr>
            <w:r>
              <w:rPr>
                <w:rFonts w:ascii="Calibri" w:hAnsi="Calibri"/>
                <w:color w:val="000000"/>
                <w:sz w:val="22"/>
                <w:szCs w:val="22"/>
              </w:rPr>
              <w:t>ООО "Объединенная таможенно-логистическая компания"</w:t>
            </w:r>
          </w:p>
        </w:tc>
        <w:tc>
          <w:tcPr>
            <w:tcW w:w="1220" w:type="dxa"/>
            <w:tcBorders>
              <w:top w:val="nil"/>
              <w:left w:val="nil"/>
              <w:bottom w:val="single" w:sz="4" w:space="0" w:color="auto"/>
              <w:right w:val="single" w:sz="4" w:space="0" w:color="auto"/>
            </w:tcBorders>
            <w:shd w:val="clear" w:color="auto" w:fill="auto"/>
            <w:noWrap/>
            <w:vAlign w:val="bottom"/>
            <w:hideMark/>
          </w:tcPr>
          <w:p w14:paraId="6780C4EA" w14:textId="77777777" w:rsidR="002A6FD1" w:rsidRDefault="002A6FD1">
            <w:pPr>
              <w:jc w:val="right"/>
              <w:rPr>
                <w:rFonts w:ascii="Calibri" w:hAnsi="Calibri"/>
                <w:color w:val="000000"/>
                <w:sz w:val="22"/>
                <w:szCs w:val="22"/>
              </w:rPr>
            </w:pPr>
            <w:r>
              <w:rPr>
                <w:rFonts w:ascii="Calibri" w:hAnsi="Calibri"/>
                <w:color w:val="000000"/>
                <w:sz w:val="22"/>
                <w:szCs w:val="22"/>
              </w:rPr>
              <w:t>1,06%</w:t>
            </w:r>
          </w:p>
        </w:tc>
        <w:tc>
          <w:tcPr>
            <w:tcW w:w="1190" w:type="dxa"/>
            <w:tcBorders>
              <w:top w:val="nil"/>
              <w:left w:val="nil"/>
              <w:bottom w:val="single" w:sz="4" w:space="0" w:color="auto"/>
              <w:right w:val="single" w:sz="4" w:space="0" w:color="auto"/>
            </w:tcBorders>
            <w:shd w:val="clear" w:color="auto" w:fill="auto"/>
            <w:noWrap/>
            <w:vAlign w:val="bottom"/>
            <w:hideMark/>
          </w:tcPr>
          <w:p w14:paraId="520F3D44" w14:textId="77777777" w:rsidR="002A6FD1" w:rsidRDefault="002A6FD1">
            <w:pPr>
              <w:jc w:val="right"/>
              <w:rPr>
                <w:rFonts w:ascii="Calibri" w:hAnsi="Calibri"/>
                <w:color w:val="000000"/>
                <w:sz w:val="22"/>
                <w:szCs w:val="22"/>
              </w:rPr>
            </w:pPr>
            <w:r>
              <w:rPr>
                <w:rFonts w:ascii="Calibri" w:hAnsi="Calibri"/>
                <w:color w:val="000000"/>
                <w:sz w:val="22"/>
                <w:szCs w:val="22"/>
              </w:rPr>
              <w:t>1,22%</w:t>
            </w:r>
          </w:p>
        </w:tc>
      </w:tr>
      <w:tr w:rsidR="002A6FD1" w14:paraId="1E031A26" w14:textId="77777777" w:rsidTr="002A6FD1">
        <w:trPr>
          <w:trHeight w:val="574"/>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20CE9DD"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1474902A" w14:textId="77777777" w:rsidR="002A6FD1" w:rsidRDefault="002A6FD1">
            <w:pPr>
              <w:rPr>
                <w:rFonts w:ascii="Calibri" w:hAnsi="Calibri"/>
                <w:color w:val="000000"/>
                <w:sz w:val="22"/>
                <w:szCs w:val="22"/>
              </w:rPr>
            </w:pPr>
            <w:r>
              <w:rPr>
                <w:rFonts w:ascii="Calibri" w:hAnsi="Calibri"/>
                <w:color w:val="000000"/>
                <w:sz w:val="22"/>
                <w:szCs w:val="22"/>
              </w:rPr>
              <w:t>ООО "ТАМОЖЕННО-ЛОГИСТИЧЕСКИЙ КОНТЕЙНЕРНЫЙ ТЕРМИНАЛ"</w:t>
            </w:r>
          </w:p>
        </w:tc>
        <w:tc>
          <w:tcPr>
            <w:tcW w:w="1220" w:type="dxa"/>
            <w:tcBorders>
              <w:top w:val="nil"/>
              <w:left w:val="nil"/>
              <w:bottom w:val="single" w:sz="4" w:space="0" w:color="auto"/>
              <w:right w:val="single" w:sz="4" w:space="0" w:color="auto"/>
            </w:tcBorders>
            <w:shd w:val="clear" w:color="auto" w:fill="auto"/>
            <w:noWrap/>
            <w:vAlign w:val="bottom"/>
            <w:hideMark/>
          </w:tcPr>
          <w:p w14:paraId="56CB5CAB" w14:textId="77777777" w:rsidR="002A6FD1" w:rsidRDefault="002A6FD1">
            <w:pPr>
              <w:jc w:val="right"/>
              <w:rPr>
                <w:rFonts w:ascii="Calibri" w:hAnsi="Calibri"/>
                <w:color w:val="000000"/>
                <w:sz w:val="22"/>
                <w:szCs w:val="22"/>
              </w:rPr>
            </w:pPr>
            <w:r>
              <w:rPr>
                <w:rFonts w:ascii="Calibri" w:hAnsi="Calibri"/>
                <w:color w:val="000000"/>
                <w:sz w:val="22"/>
                <w:szCs w:val="22"/>
              </w:rPr>
              <w:t>0,78%</w:t>
            </w:r>
          </w:p>
        </w:tc>
        <w:tc>
          <w:tcPr>
            <w:tcW w:w="1190" w:type="dxa"/>
            <w:tcBorders>
              <w:top w:val="nil"/>
              <w:left w:val="nil"/>
              <w:bottom w:val="single" w:sz="4" w:space="0" w:color="auto"/>
              <w:right w:val="single" w:sz="4" w:space="0" w:color="auto"/>
            </w:tcBorders>
            <w:shd w:val="clear" w:color="auto" w:fill="auto"/>
            <w:noWrap/>
            <w:vAlign w:val="bottom"/>
            <w:hideMark/>
          </w:tcPr>
          <w:p w14:paraId="52AEFBEA" w14:textId="77777777" w:rsidR="002A6FD1" w:rsidRDefault="002A6FD1">
            <w:pPr>
              <w:jc w:val="right"/>
              <w:rPr>
                <w:rFonts w:ascii="Calibri" w:hAnsi="Calibri"/>
                <w:color w:val="000000"/>
                <w:sz w:val="22"/>
                <w:szCs w:val="22"/>
              </w:rPr>
            </w:pPr>
            <w:r>
              <w:rPr>
                <w:rFonts w:ascii="Calibri" w:hAnsi="Calibri"/>
                <w:color w:val="000000"/>
                <w:sz w:val="22"/>
                <w:szCs w:val="22"/>
              </w:rPr>
              <w:t>0,79%</w:t>
            </w:r>
          </w:p>
        </w:tc>
      </w:tr>
      <w:tr w:rsidR="002A6FD1" w14:paraId="2796944A"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780EEAFC"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6F59B4D0" w14:textId="77777777" w:rsidR="002A6FD1" w:rsidRDefault="002A6FD1">
            <w:pPr>
              <w:rPr>
                <w:rFonts w:ascii="Calibri" w:hAnsi="Calibri"/>
                <w:color w:val="000000"/>
                <w:sz w:val="22"/>
                <w:szCs w:val="22"/>
              </w:rPr>
            </w:pPr>
            <w:r>
              <w:rPr>
                <w:rFonts w:ascii="Calibri" w:hAnsi="Calibri"/>
                <w:color w:val="000000"/>
                <w:sz w:val="22"/>
                <w:szCs w:val="22"/>
              </w:rPr>
              <w:t>ООО "Рускон"</w:t>
            </w:r>
          </w:p>
        </w:tc>
        <w:tc>
          <w:tcPr>
            <w:tcW w:w="1220" w:type="dxa"/>
            <w:tcBorders>
              <w:top w:val="nil"/>
              <w:left w:val="nil"/>
              <w:bottom w:val="single" w:sz="4" w:space="0" w:color="auto"/>
              <w:right w:val="single" w:sz="4" w:space="0" w:color="auto"/>
            </w:tcBorders>
            <w:shd w:val="clear" w:color="auto" w:fill="auto"/>
            <w:noWrap/>
            <w:vAlign w:val="bottom"/>
            <w:hideMark/>
          </w:tcPr>
          <w:p w14:paraId="5F7A85B9" w14:textId="77777777" w:rsidR="002A6FD1" w:rsidRDefault="002A6FD1">
            <w:pPr>
              <w:jc w:val="right"/>
              <w:rPr>
                <w:rFonts w:ascii="Calibri" w:hAnsi="Calibri"/>
                <w:color w:val="000000"/>
                <w:sz w:val="22"/>
                <w:szCs w:val="22"/>
              </w:rPr>
            </w:pPr>
            <w:r>
              <w:rPr>
                <w:rFonts w:ascii="Calibri" w:hAnsi="Calibri"/>
                <w:color w:val="000000"/>
                <w:sz w:val="22"/>
                <w:szCs w:val="22"/>
              </w:rPr>
              <w:t>0,12%</w:t>
            </w:r>
          </w:p>
        </w:tc>
        <w:tc>
          <w:tcPr>
            <w:tcW w:w="1190" w:type="dxa"/>
            <w:tcBorders>
              <w:top w:val="nil"/>
              <w:left w:val="nil"/>
              <w:bottom w:val="single" w:sz="4" w:space="0" w:color="auto"/>
              <w:right w:val="single" w:sz="4" w:space="0" w:color="auto"/>
            </w:tcBorders>
            <w:shd w:val="clear" w:color="auto" w:fill="auto"/>
            <w:noWrap/>
            <w:vAlign w:val="bottom"/>
            <w:hideMark/>
          </w:tcPr>
          <w:p w14:paraId="7A68F547" w14:textId="77777777" w:rsidR="002A6FD1" w:rsidRDefault="002A6FD1">
            <w:pPr>
              <w:jc w:val="right"/>
              <w:rPr>
                <w:rFonts w:ascii="Calibri" w:hAnsi="Calibri"/>
                <w:color w:val="000000"/>
                <w:sz w:val="22"/>
                <w:szCs w:val="22"/>
              </w:rPr>
            </w:pPr>
            <w:r>
              <w:rPr>
                <w:rFonts w:ascii="Calibri" w:hAnsi="Calibri"/>
                <w:color w:val="000000"/>
                <w:sz w:val="22"/>
                <w:szCs w:val="22"/>
              </w:rPr>
              <w:t>0,07%</w:t>
            </w:r>
          </w:p>
        </w:tc>
      </w:tr>
      <w:tr w:rsidR="002A6FD1" w14:paraId="783BB0F1" w14:textId="77777777" w:rsidTr="002A6FD1">
        <w:trPr>
          <w:trHeight w:val="300"/>
        </w:trPr>
        <w:tc>
          <w:tcPr>
            <w:tcW w:w="3420" w:type="dxa"/>
            <w:tcBorders>
              <w:top w:val="nil"/>
              <w:left w:val="single" w:sz="4" w:space="0" w:color="auto"/>
              <w:bottom w:val="single" w:sz="4" w:space="0" w:color="auto"/>
              <w:right w:val="single" w:sz="4" w:space="0" w:color="auto"/>
            </w:tcBorders>
            <w:shd w:val="clear" w:color="000000" w:fill="D9D9D9"/>
            <w:vAlign w:val="bottom"/>
            <w:hideMark/>
          </w:tcPr>
          <w:p w14:paraId="56C39926" w14:textId="77777777" w:rsidR="002A6FD1" w:rsidRDefault="002A6FD1">
            <w:pPr>
              <w:rPr>
                <w:rFonts w:ascii="Calibri" w:hAnsi="Calibri"/>
                <w:b/>
                <w:bCs/>
                <w:color w:val="000000"/>
                <w:sz w:val="22"/>
                <w:szCs w:val="22"/>
              </w:rPr>
            </w:pPr>
            <w:r>
              <w:rPr>
                <w:rFonts w:ascii="Calibri" w:hAnsi="Calibri"/>
                <w:b/>
                <w:bCs/>
                <w:color w:val="000000"/>
                <w:sz w:val="22"/>
                <w:szCs w:val="22"/>
              </w:rPr>
              <w:t>Дело-Центр Итог</w:t>
            </w:r>
          </w:p>
        </w:tc>
        <w:tc>
          <w:tcPr>
            <w:tcW w:w="4230" w:type="dxa"/>
            <w:tcBorders>
              <w:top w:val="nil"/>
              <w:left w:val="nil"/>
              <w:bottom w:val="single" w:sz="4" w:space="0" w:color="auto"/>
              <w:right w:val="single" w:sz="4" w:space="0" w:color="auto"/>
            </w:tcBorders>
            <w:shd w:val="clear" w:color="000000" w:fill="D9D9D9"/>
            <w:vAlign w:val="bottom"/>
            <w:hideMark/>
          </w:tcPr>
          <w:p w14:paraId="28D71E79" w14:textId="77777777" w:rsidR="002A6FD1" w:rsidRDefault="002A6FD1">
            <w:pPr>
              <w:rPr>
                <w:rFonts w:ascii="Calibri" w:hAnsi="Calibri"/>
                <w:b/>
                <w:bCs/>
                <w:color w:val="000000"/>
                <w:sz w:val="22"/>
                <w:szCs w:val="22"/>
              </w:rPr>
            </w:pPr>
            <w:r>
              <w:rPr>
                <w:rFonts w:ascii="Calibri" w:hAnsi="Calibri"/>
                <w:b/>
                <w:bCs/>
                <w:color w:val="000000"/>
                <w:sz w:val="22"/>
                <w:szCs w:val="22"/>
              </w:rPr>
              <w:t> </w:t>
            </w:r>
          </w:p>
        </w:tc>
        <w:tc>
          <w:tcPr>
            <w:tcW w:w="1220" w:type="dxa"/>
            <w:tcBorders>
              <w:top w:val="nil"/>
              <w:left w:val="nil"/>
              <w:bottom w:val="single" w:sz="4" w:space="0" w:color="auto"/>
              <w:right w:val="single" w:sz="4" w:space="0" w:color="auto"/>
            </w:tcBorders>
            <w:shd w:val="clear" w:color="000000" w:fill="D9D9D9"/>
            <w:noWrap/>
            <w:vAlign w:val="bottom"/>
            <w:hideMark/>
          </w:tcPr>
          <w:p w14:paraId="5FB8CF5D" w14:textId="77777777" w:rsidR="002A6FD1" w:rsidRDefault="002A6FD1">
            <w:pPr>
              <w:jc w:val="right"/>
              <w:rPr>
                <w:rFonts w:ascii="Calibri" w:hAnsi="Calibri"/>
                <w:b/>
                <w:bCs/>
                <w:color w:val="000000"/>
                <w:sz w:val="22"/>
                <w:szCs w:val="22"/>
              </w:rPr>
            </w:pPr>
            <w:r>
              <w:rPr>
                <w:rFonts w:ascii="Calibri" w:hAnsi="Calibri"/>
                <w:b/>
                <w:bCs/>
                <w:color w:val="000000"/>
                <w:sz w:val="22"/>
                <w:szCs w:val="22"/>
              </w:rPr>
              <w:t>1,97%</w:t>
            </w:r>
          </w:p>
        </w:tc>
        <w:tc>
          <w:tcPr>
            <w:tcW w:w="1190" w:type="dxa"/>
            <w:tcBorders>
              <w:top w:val="nil"/>
              <w:left w:val="nil"/>
              <w:bottom w:val="single" w:sz="4" w:space="0" w:color="auto"/>
              <w:right w:val="single" w:sz="4" w:space="0" w:color="auto"/>
            </w:tcBorders>
            <w:shd w:val="clear" w:color="000000" w:fill="D9D9D9"/>
            <w:noWrap/>
            <w:vAlign w:val="bottom"/>
            <w:hideMark/>
          </w:tcPr>
          <w:p w14:paraId="4FF80098" w14:textId="77777777" w:rsidR="002A6FD1" w:rsidRDefault="002A6FD1">
            <w:pPr>
              <w:jc w:val="right"/>
              <w:rPr>
                <w:rFonts w:ascii="Calibri" w:hAnsi="Calibri"/>
                <w:b/>
                <w:bCs/>
                <w:color w:val="000000"/>
                <w:sz w:val="22"/>
                <w:szCs w:val="22"/>
              </w:rPr>
            </w:pPr>
            <w:r>
              <w:rPr>
                <w:rFonts w:ascii="Calibri" w:hAnsi="Calibri"/>
                <w:b/>
                <w:bCs/>
                <w:color w:val="000000"/>
                <w:sz w:val="22"/>
                <w:szCs w:val="22"/>
              </w:rPr>
              <w:t>2,07%</w:t>
            </w:r>
          </w:p>
        </w:tc>
      </w:tr>
      <w:tr w:rsidR="002A6FD1" w14:paraId="39511C8A"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4FFF2B5" w14:textId="77777777" w:rsidR="002A6FD1" w:rsidRDefault="002A6FD1">
            <w:pPr>
              <w:rPr>
                <w:rFonts w:ascii="Calibri" w:hAnsi="Calibri"/>
                <w:color w:val="000000"/>
                <w:sz w:val="22"/>
                <w:szCs w:val="22"/>
              </w:rPr>
            </w:pPr>
            <w:r>
              <w:rPr>
                <w:rFonts w:ascii="Calibri" w:hAnsi="Calibri"/>
                <w:color w:val="000000"/>
                <w:sz w:val="22"/>
                <w:szCs w:val="22"/>
              </w:rPr>
              <w:t>ТАМАРИКС</w:t>
            </w:r>
          </w:p>
        </w:tc>
        <w:tc>
          <w:tcPr>
            <w:tcW w:w="4230" w:type="dxa"/>
            <w:tcBorders>
              <w:top w:val="nil"/>
              <w:left w:val="nil"/>
              <w:bottom w:val="single" w:sz="4" w:space="0" w:color="auto"/>
              <w:right w:val="single" w:sz="4" w:space="0" w:color="auto"/>
            </w:tcBorders>
            <w:shd w:val="clear" w:color="auto" w:fill="auto"/>
            <w:vAlign w:val="bottom"/>
            <w:hideMark/>
          </w:tcPr>
          <w:p w14:paraId="0A0EC5A0" w14:textId="77777777" w:rsidR="002A6FD1" w:rsidRDefault="002A6FD1">
            <w:pPr>
              <w:rPr>
                <w:rFonts w:ascii="Calibri" w:hAnsi="Calibri"/>
                <w:color w:val="000000"/>
                <w:sz w:val="22"/>
                <w:szCs w:val="22"/>
              </w:rPr>
            </w:pPr>
            <w:r>
              <w:rPr>
                <w:rFonts w:ascii="Calibri" w:hAnsi="Calibri"/>
                <w:color w:val="000000"/>
                <w:sz w:val="22"/>
                <w:szCs w:val="22"/>
              </w:rPr>
              <w:t>ООО "ТАМАРИКС"</w:t>
            </w:r>
          </w:p>
        </w:tc>
        <w:tc>
          <w:tcPr>
            <w:tcW w:w="1220" w:type="dxa"/>
            <w:tcBorders>
              <w:top w:val="nil"/>
              <w:left w:val="nil"/>
              <w:bottom w:val="single" w:sz="4" w:space="0" w:color="auto"/>
              <w:right w:val="single" w:sz="4" w:space="0" w:color="auto"/>
            </w:tcBorders>
            <w:shd w:val="clear" w:color="auto" w:fill="auto"/>
            <w:noWrap/>
            <w:vAlign w:val="bottom"/>
            <w:hideMark/>
          </w:tcPr>
          <w:p w14:paraId="73C0439E" w14:textId="77777777" w:rsidR="002A6FD1" w:rsidRDefault="002A6FD1">
            <w:pPr>
              <w:jc w:val="right"/>
              <w:rPr>
                <w:rFonts w:ascii="Calibri" w:hAnsi="Calibri"/>
                <w:color w:val="000000"/>
                <w:sz w:val="22"/>
                <w:szCs w:val="22"/>
              </w:rPr>
            </w:pPr>
            <w:r>
              <w:rPr>
                <w:rFonts w:ascii="Calibri" w:hAnsi="Calibri"/>
                <w:color w:val="000000"/>
                <w:sz w:val="22"/>
                <w:szCs w:val="22"/>
              </w:rPr>
              <w:t>1,84%</w:t>
            </w:r>
          </w:p>
        </w:tc>
        <w:tc>
          <w:tcPr>
            <w:tcW w:w="1190" w:type="dxa"/>
            <w:tcBorders>
              <w:top w:val="nil"/>
              <w:left w:val="nil"/>
              <w:bottom w:val="single" w:sz="4" w:space="0" w:color="auto"/>
              <w:right w:val="single" w:sz="4" w:space="0" w:color="auto"/>
            </w:tcBorders>
            <w:shd w:val="clear" w:color="auto" w:fill="auto"/>
            <w:noWrap/>
            <w:vAlign w:val="bottom"/>
            <w:hideMark/>
          </w:tcPr>
          <w:p w14:paraId="31EF02F4" w14:textId="77777777" w:rsidR="002A6FD1" w:rsidRDefault="002A6FD1">
            <w:pPr>
              <w:jc w:val="right"/>
              <w:rPr>
                <w:rFonts w:ascii="Calibri" w:hAnsi="Calibri"/>
                <w:color w:val="000000"/>
                <w:sz w:val="22"/>
                <w:szCs w:val="22"/>
              </w:rPr>
            </w:pPr>
            <w:r>
              <w:rPr>
                <w:rFonts w:ascii="Calibri" w:hAnsi="Calibri"/>
                <w:color w:val="000000"/>
                <w:sz w:val="22"/>
                <w:szCs w:val="22"/>
              </w:rPr>
              <w:t>1,88%</w:t>
            </w:r>
          </w:p>
        </w:tc>
      </w:tr>
      <w:tr w:rsidR="002A6FD1" w14:paraId="7ECDC4AE" w14:textId="77777777" w:rsidTr="002A6FD1">
        <w:trPr>
          <w:trHeight w:val="300"/>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77C0A210" w14:textId="77777777" w:rsidR="002A6FD1" w:rsidRDefault="002A6FD1">
            <w:pPr>
              <w:rPr>
                <w:rFonts w:ascii="Calibri" w:hAnsi="Calibri"/>
                <w:color w:val="000000"/>
                <w:sz w:val="22"/>
                <w:szCs w:val="22"/>
              </w:rPr>
            </w:pPr>
            <w:r>
              <w:rPr>
                <w:rFonts w:ascii="Calibri" w:hAnsi="Calibri"/>
                <w:color w:val="000000"/>
                <w:sz w:val="22"/>
                <w:szCs w:val="22"/>
              </w:rPr>
              <w:t> </w:t>
            </w:r>
          </w:p>
        </w:tc>
        <w:tc>
          <w:tcPr>
            <w:tcW w:w="4230" w:type="dxa"/>
            <w:tcBorders>
              <w:top w:val="nil"/>
              <w:left w:val="nil"/>
              <w:bottom w:val="single" w:sz="4" w:space="0" w:color="auto"/>
              <w:right w:val="single" w:sz="4" w:space="0" w:color="auto"/>
            </w:tcBorders>
            <w:shd w:val="clear" w:color="auto" w:fill="auto"/>
            <w:vAlign w:val="bottom"/>
            <w:hideMark/>
          </w:tcPr>
          <w:p w14:paraId="3416280A" w14:textId="77777777" w:rsidR="002A6FD1" w:rsidRDefault="002A6FD1">
            <w:pPr>
              <w:rPr>
                <w:rFonts w:ascii="Calibri" w:hAnsi="Calibri"/>
                <w:color w:val="000000"/>
                <w:sz w:val="22"/>
                <w:szCs w:val="22"/>
              </w:rPr>
            </w:pPr>
            <w:r>
              <w:rPr>
                <w:rFonts w:ascii="Calibri" w:hAnsi="Calibri"/>
                <w:color w:val="000000"/>
                <w:sz w:val="22"/>
                <w:szCs w:val="22"/>
              </w:rPr>
              <w:t>ООО "ТАМАРИКС Лоджистикс"</w:t>
            </w:r>
          </w:p>
        </w:tc>
        <w:tc>
          <w:tcPr>
            <w:tcW w:w="1220" w:type="dxa"/>
            <w:tcBorders>
              <w:top w:val="nil"/>
              <w:left w:val="nil"/>
              <w:bottom w:val="single" w:sz="4" w:space="0" w:color="auto"/>
              <w:right w:val="single" w:sz="4" w:space="0" w:color="auto"/>
            </w:tcBorders>
            <w:shd w:val="clear" w:color="auto" w:fill="auto"/>
            <w:noWrap/>
            <w:vAlign w:val="bottom"/>
            <w:hideMark/>
          </w:tcPr>
          <w:p w14:paraId="510AD495" w14:textId="77777777" w:rsidR="002A6FD1" w:rsidRDefault="002A6FD1">
            <w:pPr>
              <w:jc w:val="right"/>
              <w:rPr>
                <w:rFonts w:ascii="Calibri" w:hAnsi="Calibri"/>
                <w:color w:val="000000"/>
                <w:sz w:val="22"/>
                <w:szCs w:val="22"/>
              </w:rPr>
            </w:pPr>
            <w:r>
              <w:rPr>
                <w:rFonts w:ascii="Calibri" w:hAnsi="Calibri"/>
                <w:color w:val="000000"/>
                <w:sz w:val="22"/>
                <w:szCs w:val="22"/>
              </w:rPr>
              <w:t>0,06%</w:t>
            </w:r>
          </w:p>
        </w:tc>
        <w:tc>
          <w:tcPr>
            <w:tcW w:w="1190" w:type="dxa"/>
            <w:tcBorders>
              <w:top w:val="nil"/>
              <w:left w:val="nil"/>
              <w:bottom w:val="single" w:sz="4" w:space="0" w:color="auto"/>
              <w:right w:val="single" w:sz="4" w:space="0" w:color="auto"/>
            </w:tcBorders>
            <w:shd w:val="clear" w:color="auto" w:fill="auto"/>
            <w:noWrap/>
            <w:vAlign w:val="bottom"/>
            <w:hideMark/>
          </w:tcPr>
          <w:p w14:paraId="278A46E0" w14:textId="77777777" w:rsidR="002A6FD1" w:rsidRDefault="002A6FD1">
            <w:pPr>
              <w:jc w:val="right"/>
              <w:rPr>
                <w:rFonts w:ascii="Calibri" w:hAnsi="Calibri"/>
                <w:color w:val="000000"/>
                <w:sz w:val="22"/>
                <w:szCs w:val="22"/>
              </w:rPr>
            </w:pPr>
            <w:r>
              <w:rPr>
                <w:rFonts w:ascii="Calibri" w:hAnsi="Calibri"/>
                <w:color w:val="000000"/>
                <w:sz w:val="22"/>
                <w:szCs w:val="22"/>
              </w:rPr>
              <w:t>0,14%</w:t>
            </w:r>
          </w:p>
        </w:tc>
      </w:tr>
      <w:tr w:rsidR="002A6FD1" w14:paraId="0A66944E" w14:textId="77777777" w:rsidTr="002A6FD1">
        <w:trPr>
          <w:trHeight w:val="300"/>
        </w:trPr>
        <w:tc>
          <w:tcPr>
            <w:tcW w:w="3420" w:type="dxa"/>
            <w:tcBorders>
              <w:top w:val="nil"/>
              <w:left w:val="single" w:sz="4" w:space="0" w:color="auto"/>
              <w:bottom w:val="single" w:sz="4" w:space="0" w:color="auto"/>
              <w:right w:val="single" w:sz="4" w:space="0" w:color="auto"/>
            </w:tcBorders>
            <w:shd w:val="clear" w:color="000000" w:fill="D9D9D9"/>
            <w:vAlign w:val="bottom"/>
            <w:hideMark/>
          </w:tcPr>
          <w:p w14:paraId="36FF4817" w14:textId="77777777" w:rsidR="002A6FD1" w:rsidRDefault="002A6FD1">
            <w:pPr>
              <w:rPr>
                <w:rFonts w:ascii="Calibri" w:hAnsi="Calibri"/>
                <w:b/>
                <w:bCs/>
                <w:color w:val="000000"/>
                <w:sz w:val="22"/>
                <w:szCs w:val="22"/>
              </w:rPr>
            </w:pPr>
            <w:r>
              <w:rPr>
                <w:rFonts w:ascii="Calibri" w:hAnsi="Calibri"/>
                <w:b/>
                <w:bCs/>
                <w:color w:val="000000"/>
                <w:sz w:val="22"/>
                <w:szCs w:val="22"/>
              </w:rPr>
              <w:t>ТАМАРИКС Итог</w:t>
            </w:r>
          </w:p>
        </w:tc>
        <w:tc>
          <w:tcPr>
            <w:tcW w:w="4230" w:type="dxa"/>
            <w:tcBorders>
              <w:top w:val="nil"/>
              <w:left w:val="nil"/>
              <w:bottom w:val="single" w:sz="4" w:space="0" w:color="auto"/>
              <w:right w:val="single" w:sz="4" w:space="0" w:color="auto"/>
            </w:tcBorders>
            <w:shd w:val="clear" w:color="000000" w:fill="D9D9D9"/>
            <w:vAlign w:val="bottom"/>
            <w:hideMark/>
          </w:tcPr>
          <w:p w14:paraId="7A7D5E03" w14:textId="77777777" w:rsidR="002A6FD1" w:rsidRDefault="002A6FD1">
            <w:pPr>
              <w:rPr>
                <w:rFonts w:ascii="Calibri" w:hAnsi="Calibri"/>
                <w:b/>
                <w:bCs/>
                <w:color w:val="000000"/>
                <w:sz w:val="22"/>
                <w:szCs w:val="22"/>
              </w:rPr>
            </w:pPr>
            <w:r>
              <w:rPr>
                <w:rFonts w:ascii="Calibri" w:hAnsi="Calibri"/>
                <w:b/>
                <w:bCs/>
                <w:color w:val="000000"/>
                <w:sz w:val="22"/>
                <w:szCs w:val="22"/>
              </w:rPr>
              <w:t> </w:t>
            </w:r>
          </w:p>
        </w:tc>
        <w:tc>
          <w:tcPr>
            <w:tcW w:w="1220" w:type="dxa"/>
            <w:tcBorders>
              <w:top w:val="nil"/>
              <w:left w:val="nil"/>
              <w:bottom w:val="single" w:sz="4" w:space="0" w:color="auto"/>
              <w:right w:val="single" w:sz="4" w:space="0" w:color="auto"/>
            </w:tcBorders>
            <w:shd w:val="clear" w:color="000000" w:fill="D9D9D9"/>
            <w:noWrap/>
            <w:vAlign w:val="bottom"/>
            <w:hideMark/>
          </w:tcPr>
          <w:p w14:paraId="368C9A1E" w14:textId="77777777" w:rsidR="002A6FD1" w:rsidRDefault="002A6FD1">
            <w:pPr>
              <w:jc w:val="right"/>
              <w:rPr>
                <w:rFonts w:ascii="Calibri" w:hAnsi="Calibri"/>
                <w:b/>
                <w:bCs/>
                <w:color w:val="000000"/>
                <w:sz w:val="22"/>
                <w:szCs w:val="22"/>
              </w:rPr>
            </w:pPr>
            <w:r>
              <w:rPr>
                <w:rFonts w:ascii="Calibri" w:hAnsi="Calibri"/>
                <w:b/>
                <w:bCs/>
                <w:color w:val="000000"/>
                <w:sz w:val="22"/>
                <w:szCs w:val="22"/>
              </w:rPr>
              <w:t>1,90%</w:t>
            </w:r>
          </w:p>
        </w:tc>
        <w:tc>
          <w:tcPr>
            <w:tcW w:w="1190" w:type="dxa"/>
            <w:tcBorders>
              <w:top w:val="nil"/>
              <w:left w:val="nil"/>
              <w:bottom w:val="single" w:sz="4" w:space="0" w:color="auto"/>
              <w:right w:val="single" w:sz="4" w:space="0" w:color="auto"/>
            </w:tcBorders>
            <w:shd w:val="clear" w:color="000000" w:fill="D9D9D9"/>
            <w:noWrap/>
            <w:vAlign w:val="bottom"/>
            <w:hideMark/>
          </w:tcPr>
          <w:p w14:paraId="4B0142A5" w14:textId="77777777" w:rsidR="002A6FD1" w:rsidRDefault="002A6FD1">
            <w:pPr>
              <w:jc w:val="right"/>
              <w:rPr>
                <w:rFonts w:ascii="Calibri" w:hAnsi="Calibri"/>
                <w:b/>
                <w:bCs/>
                <w:color w:val="000000"/>
                <w:sz w:val="22"/>
                <w:szCs w:val="22"/>
              </w:rPr>
            </w:pPr>
            <w:r>
              <w:rPr>
                <w:rFonts w:ascii="Calibri" w:hAnsi="Calibri"/>
                <w:b/>
                <w:bCs/>
                <w:color w:val="000000"/>
                <w:sz w:val="22"/>
                <w:szCs w:val="22"/>
              </w:rPr>
              <w:t>2,02%</w:t>
            </w:r>
          </w:p>
        </w:tc>
      </w:tr>
    </w:tbl>
    <w:p w14:paraId="15E98D49" w14:textId="77777777" w:rsidR="002A6FD1" w:rsidRDefault="002A6FD1" w:rsidP="00A92D87">
      <w:pPr>
        <w:autoSpaceDE w:val="0"/>
        <w:autoSpaceDN w:val="0"/>
        <w:adjustRightInd w:val="0"/>
        <w:spacing w:line="20" w:lineRule="atLeast"/>
        <w:ind w:firstLine="709"/>
        <w:jc w:val="both"/>
        <w:rPr>
          <w:sz w:val="28"/>
          <w:szCs w:val="28"/>
        </w:rPr>
      </w:pPr>
    </w:p>
    <w:p w14:paraId="45859F1F" w14:textId="77777777" w:rsidR="00966389" w:rsidRDefault="00E327CE" w:rsidP="00A92D87">
      <w:pPr>
        <w:tabs>
          <w:tab w:val="left" w:pos="1134"/>
        </w:tabs>
        <w:autoSpaceDE w:val="0"/>
        <w:autoSpaceDN w:val="0"/>
        <w:adjustRightInd w:val="0"/>
        <w:spacing w:line="20" w:lineRule="atLeast"/>
        <w:ind w:firstLine="709"/>
        <w:jc w:val="both"/>
        <w:rPr>
          <w:sz w:val="28"/>
          <w:szCs w:val="28"/>
        </w:rPr>
      </w:pPr>
      <w:r>
        <w:rPr>
          <w:sz w:val="28"/>
          <w:szCs w:val="28"/>
        </w:rPr>
        <w:t>Кроме того, были установлены отдельные хозяйствующие субъекты, оказавшие в исследуемый период наибольший объем услуг и н</w:t>
      </w:r>
      <w:r w:rsidR="00966389">
        <w:rPr>
          <w:sz w:val="28"/>
          <w:szCs w:val="28"/>
        </w:rPr>
        <w:t>е входящие ни в одну группу лиц.</w:t>
      </w:r>
    </w:p>
    <w:p w14:paraId="349630EC" w14:textId="67B7E3EC" w:rsidR="00E327CE" w:rsidRDefault="00966389" w:rsidP="00A92D87">
      <w:pPr>
        <w:tabs>
          <w:tab w:val="left" w:pos="1134"/>
        </w:tabs>
        <w:autoSpaceDE w:val="0"/>
        <w:autoSpaceDN w:val="0"/>
        <w:adjustRightInd w:val="0"/>
        <w:spacing w:line="20" w:lineRule="atLeast"/>
        <w:ind w:firstLine="709"/>
        <w:jc w:val="both"/>
        <w:rPr>
          <w:sz w:val="28"/>
          <w:szCs w:val="28"/>
        </w:rPr>
      </w:pPr>
      <w:r w:rsidRPr="00966389">
        <w:rPr>
          <w:sz w:val="28"/>
          <w:szCs w:val="28"/>
        </w:rPr>
        <w:t>Наиболее крупные из них:</w:t>
      </w:r>
    </w:p>
    <w:p w14:paraId="18F80B51" w14:textId="77777777" w:rsidR="002A6FD1" w:rsidRDefault="002A6FD1" w:rsidP="00A92D87">
      <w:pPr>
        <w:tabs>
          <w:tab w:val="left" w:pos="1134"/>
        </w:tabs>
        <w:autoSpaceDE w:val="0"/>
        <w:autoSpaceDN w:val="0"/>
        <w:adjustRightInd w:val="0"/>
        <w:spacing w:line="20" w:lineRule="atLeast"/>
        <w:ind w:firstLine="709"/>
        <w:jc w:val="both"/>
        <w:rPr>
          <w:sz w:val="28"/>
          <w:szCs w:val="28"/>
        </w:rPr>
      </w:pPr>
    </w:p>
    <w:tbl>
      <w:tblPr>
        <w:tblW w:w="9558" w:type="dxa"/>
        <w:tblInd w:w="279" w:type="dxa"/>
        <w:tblLook w:val="04A0" w:firstRow="1" w:lastRow="0" w:firstColumn="1" w:lastColumn="0" w:noHBand="0" w:noVBand="1"/>
      </w:tblPr>
      <w:tblGrid>
        <w:gridCol w:w="6799"/>
        <w:gridCol w:w="1483"/>
        <w:gridCol w:w="1276"/>
      </w:tblGrid>
      <w:tr w:rsidR="002A6FD1" w14:paraId="3F4C581A" w14:textId="77777777" w:rsidTr="002A6FD1">
        <w:trPr>
          <w:trHeight w:val="300"/>
        </w:trPr>
        <w:tc>
          <w:tcPr>
            <w:tcW w:w="67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BAE8EA" w14:textId="77777777" w:rsidR="002A6FD1" w:rsidRDefault="002A6FD1">
            <w:pPr>
              <w:jc w:val="center"/>
              <w:rPr>
                <w:rFonts w:ascii="Calibri" w:hAnsi="Calibri"/>
                <w:b/>
                <w:bCs/>
                <w:color w:val="000000"/>
                <w:sz w:val="22"/>
                <w:szCs w:val="22"/>
              </w:rPr>
            </w:pPr>
            <w:r>
              <w:rPr>
                <w:rFonts w:ascii="Calibri" w:hAnsi="Calibri"/>
                <w:b/>
                <w:bCs/>
                <w:color w:val="000000"/>
                <w:sz w:val="22"/>
                <w:szCs w:val="22"/>
              </w:rPr>
              <w:t>Наименование владельца СВХ</w:t>
            </w:r>
          </w:p>
        </w:tc>
        <w:tc>
          <w:tcPr>
            <w:tcW w:w="1483" w:type="dxa"/>
            <w:tcBorders>
              <w:top w:val="single" w:sz="4" w:space="0" w:color="auto"/>
              <w:left w:val="nil"/>
              <w:bottom w:val="single" w:sz="4" w:space="0" w:color="auto"/>
              <w:right w:val="single" w:sz="4" w:space="0" w:color="auto"/>
            </w:tcBorders>
            <w:shd w:val="clear" w:color="000000" w:fill="D0CECE"/>
            <w:noWrap/>
            <w:vAlign w:val="bottom"/>
            <w:hideMark/>
          </w:tcPr>
          <w:p w14:paraId="4E863F49" w14:textId="77777777" w:rsidR="002A6FD1" w:rsidRPr="002A6FD1" w:rsidRDefault="002A6FD1">
            <w:pPr>
              <w:rPr>
                <w:rFonts w:ascii="Calibri" w:hAnsi="Calibri"/>
                <w:b/>
                <w:color w:val="000000"/>
                <w:sz w:val="22"/>
                <w:szCs w:val="22"/>
              </w:rPr>
            </w:pPr>
            <w:r w:rsidRPr="002A6FD1">
              <w:rPr>
                <w:rFonts w:ascii="Calibri" w:hAnsi="Calibri"/>
                <w:b/>
                <w:color w:val="000000"/>
                <w:sz w:val="22"/>
                <w:szCs w:val="22"/>
              </w:rPr>
              <w:t>Доля 2016</w:t>
            </w:r>
          </w:p>
        </w:tc>
        <w:tc>
          <w:tcPr>
            <w:tcW w:w="1276" w:type="dxa"/>
            <w:tcBorders>
              <w:top w:val="single" w:sz="4" w:space="0" w:color="auto"/>
              <w:left w:val="nil"/>
              <w:bottom w:val="single" w:sz="4" w:space="0" w:color="auto"/>
              <w:right w:val="single" w:sz="4" w:space="0" w:color="auto"/>
            </w:tcBorders>
            <w:shd w:val="clear" w:color="000000" w:fill="D0CECE"/>
            <w:noWrap/>
            <w:vAlign w:val="bottom"/>
            <w:hideMark/>
          </w:tcPr>
          <w:p w14:paraId="0F36AB0A" w14:textId="77777777" w:rsidR="002A6FD1" w:rsidRDefault="002A6FD1">
            <w:pPr>
              <w:rPr>
                <w:rFonts w:ascii="Calibri" w:hAnsi="Calibri"/>
                <w:color w:val="000000"/>
                <w:sz w:val="22"/>
                <w:szCs w:val="22"/>
              </w:rPr>
            </w:pPr>
            <w:r>
              <w:rPr>
                <w:rFonts w:ascii="Calibri" w:hAnsi="Calibri"/>
                <w:color w:val="000000"/>
                <w:sz w:val="22"/>
                <w:szCs w:val="22"/>
              </w:rPr>
              <w:t>Доля 2015</w:t>
            </w:r>
          </w:p>
        </w:tc>
      </w:tr>
      <w:tr w:rsidR="002A6FD1" w14:paraId="0672C8F4"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6EDCC37F" w14:textId="77777777" w:rsidR="002A6FD1" w:rsidRDefault="002A6FD1">
            <w:pPr>
              <w:rPr>
                <w:rFonts w:ascii="Calibri" w:hAnsi="Calibri"/>
                <w:color w:val="000000"/>
                <w:sz w:val="22"/>
                <w:szCs w:val="22"/>
              </w:rPr>
            </w:pPr>
            <w:r>
              <w:rPr>
                <w:rFonts w:ascii="Calibri" w:hAnsi="Calibri"/>
                <w:color w:val="000000"/>
                <w:sz w:val="22"/>
                <w:szCs w:val="22"/>
              </w:rPr>
              <w:t>АО "Шереметьево-Карго"</w:t>
            </w:r>
          </w:p>
        </w:tc>
        <w:tc>
          <w:tcPr>
            <w:tcW w:w="1483" w:type="dxa"/>
            <w:tcBorders>
              <w:top w:val="nil"/>
              <w:left w:val="nil"/>
              <w:bottom w:val="single" w:sz="4" w:space="0" w:color="auto"/>
              <w:right w:val="single" w:sz="4" w:space="0" w:color="auto"/>
            </w:tcBorders>
            <w:shd w:val="clear" w:color="auto" w:fill="auto"/>
            <w:noWrap/>
            <w:vAlign w:val="bottom"/>
            <w:hideMark/>
          </w:tcPr>
          <w:p w14:paraId="2644C81D"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11,54%</w:t>
            </w:r>
          </w:p>
        </w:tc>
        <w:tc>
          <w:tcPr>
            <w:tcW w:w="1276" w:type="dxa"/>
            <w:tcBorders>
              <w:top w:val="nil"/>
              <w:left w:val="nil"/>
              <w:bottom w:val="single" w:sz="4" w:space="0" w:color="auto"/>
              <w:right w:val="single" w:sz="4" w:space="0" w:color="auto"/>
            </w:tcBorders>
            <w:shd w:val="clear" w:color="auto" w:fill="auto"/>
            <w:noWrap/>
            <w:vAlign w:val="bottom"/>
            <w:hideMark/>
          </w:tcPr>
          <w:p w14:paraId="37BDC672" w14:textId="77777777" w:rsidR="002A6FD1" w:rsidRDefault="002A6FD1">
            <w:pPr>
              <w:jc w:val="right"/>
              <w:rPr>
                <w:rFonts w:ascii="Calibri" w:hAnsi="Calibri"/>
                <w:color w:val="000000"/>
                <w:sz w:val="22"/>
                <w:szCs w:val="22"/>
              </w:rPr>
            </w:pPr>
            <w:r>
              <w:rPr>
                <w:rFonts w:ascii="Calibri" w:hAnsi="Calibri"/>
                <w:color w:val="000000"/>
                <w:sz w:val="22"/>
                <w:szCs w:val="22"/>
              </w:rPr>
              <w:t>12,42%</w:t>
            </w:r>
          </w:p>
        </w:tc>
      </w:tr>
      <w:tr w:rsidR="002A6FD1" w14:paraId="7781DA81"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C93DB54" w14:textId="77777777" w:rsidR="002A6FD1" w:rsidRDefault="002A6FD1">
            <w:pPr>
              <w:rPr>
                <w:rFonts w:ascii="Calibri" w:hAnsi="Calibri"/>
                <w:color w:val="000000"/>
                <w:sz w:val="22"/>
                <w:szCs w:val="22"/>
              </w:rPr>
            </w:pPr>
            <w:r>
              <w:rPr>
                <w:rFonts w:ascii="Calibri" w:hAnsi="Calibri"/>
                <w:color w:val="000000"/>
                <w:sz w:val="22"/>
                <w:szCs w:val="22"/>
              </w:rPr>
              <w:t>ООО "Автологистика"</w:t>
            </w:r>
          </w:p>
        </w:tc>
        <w:tc>
          <w:tcPr>
            <w:tcW w:w="1483" w:type="dxa"/>
            <w:tcBorders>
              <w:top w:val="nil"/>
              <w:left w:val="nil"/>
              <w:bottom w:val="single" w:sz="4" w:space="0" w:color="auto"/>
              <w:right w:val="single" w:sz="4" w:space="0" w:color="auto"/>
            </w:tcBorders>
            <w:shd w:val="clear" w:color="auto" w:fill="auto"/>
            <w:noWrap/>
            <w:vAlign w:val="bottom"/>
            <w:hideMark/>
          </w:tcPr>
          <w:p w14:paraId="4F52298A"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3,12%</w:t>
            </w:r>
          </w:p>
        </w:tc>
        <w:tc>
          <w:tcPr>
            <w:tcW w:w="1276" w:type="dxa"/>
            <w:tcBorders>
              <w:top w:val="nil"/>
              <w:left w:val="nil"/>
              <w:bottom w:val="single" w:sz="4" w:space="0" w:color="auto"/>
              <w:right w:val="single" w:sz="4" w:space="0" w:color="auto"/>
            </w:tcBorders>
            <w:shd w:val="clear" w:color="auto" w:fill="auto"/>
            <w:noWrap/>
            <w:vAlign w:val="bottom"/>
            <w:hideMark/>
          </w:tcPr>
          <w:p w14:paraId="1E106F12" w14:textId="77777777" w:rsidR="002A6FD1" w:rsidRDefault="002A6FD1">
            <w:pPr>
              <w:jc w:val="right"/>
              <w:rPr>
                <w:rFonts w:ascii="Calibri" w:hAnsi="Calibri"/>
                <w:color w:val="000000"/>
                <w:sz w:val="22"/>
                <w:szCs w:val="22"/>
              </w:rPr>
            </w:pPr>
            <w:r>
              <w:rPr>
                <w:rFonts w:ascii="Calibri" w:hAnsi="Calibri"/>
                <w:color w:val="000000"/>
                <w:sz w:val="22"/>
                <w:szCs w:val="22"/>
              </w:rPr>
              <w:t>3,07%</w:t>
            </w:r>
          </w:p>
        </w:tc>
      </w:tr>
      <w:tr w:rsidR="002A6FD1" w14:paraId="664B6ECB"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BA88651" w14:textId="77777777" w:rsidR="002A6FD1" w:rsidRDefault="002A6FD1">
            <w:pPr>
              <w:rPr>
                <w:rFonts w:ascii="Calibri" w:hAnsi="Calibri"/>
                <w:color w:val="000000"/>
                <w:sz w:val="22"/>
                <w:szCs w:val="22"/>
              </w:rPr>
            </w:pPr>
            <w:r>
              <w:rPr>
                <w:rFonts w:ascii="Calibri" w:hAnsi="Calibri"/>
                <w:color w:val="000000"/>
                <w:sz w:val="22"/>
                <w:szCs w:val="22"/>
              </w:rPr>
              <w:t>ООО "ТЕРМИНАЛ СЕЛЯТИНО"</w:t>
            </w:r>
          </w:p>
        </w:tc>
        <w:tc>
          <w:tcPr>
            <w:tcW w:w="1483" w:type="dxa"/>
            <w:tcBorders>
              <w:top w:val="nil"/>
              <w:left w:val="nil"/>
              <w:bottom w:val="single" w:sz="4" w:space="0" w:color="auto"/>
              <w:right w:val="single" w:sz="4" w:space="0" w:color="auto"/>
            </w:tcBorders>
            <w:shd w:val="clear" w:color="auto" w:fill="auto"/>
            <w:noWrap/>
            <w:vAlign w:val="bottom"/>
            <w:hideMark/>
          </w:tcPr>
          <w:p w14:paraId="1B35AA38"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2,44%</w:t>
            </w:r>
          </w:p>
        </w:tc>
        <w:tc>
          <w:tcPr>
            <w:tcW w:w="1276" w:type="dxa"/>
            <w:tcBorders>
              <w:top w:val="nil"/>
              <w:left w:val="nil"/>
              <w:bottom w:val="single" w:sz="4" w:space="0" w:color="auto"/>
              <w:right w:val="single" w:sz="4" w:space="0" w:color="auto"/>
            </w:tcBorders>
            <w:shd w:val="clear" w:color="auto" w:fill="auto"/>
            <w:noWrap/>
            <w:vAlign w:val="bottom"/>
            <w:hideMark/>
          </w:tcPr>
          <w:p w14:paraId="74CFE32F" w14:textId="77777777" w:rsidR="002A6FD1" w:rsidRDefault="002A6FD1">
            <w:pPr>
              <w:jc w:val="right"/>
              <w:rPr>
                <w:rFonts w:ascii="Calibri" w:hAnsi="Calibri"/>
                <w:color w:val="000000"/>
                <w:sz w:val="22"/>
                <w:szCs w:val="22"/>
              </w:rPr>
            </w:pPr>
            <w:r>
              <w:rPr>
                <w:rFonts w:ascii="Calibri" w:hAnsi="Calibri"/>
                <w:color w:val="000000"/>
                <w:sz w:val="22"/>
                <w:szCs w:val="22"/>
              </w:rPr>
              <w:t>2,27%</w:t>
            </w:r>
          </w:p>
        </w:tc>
      </w:tr>
      <w:tr w:rsidR="002A6FD1" w14:paraId="61BB8FBE"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6E65129" w14:textId="77777777" w:rsidR="002A6FD1" w:rsidRDefault="002A6FD1">
            <w:pPr>
              <w:rPr>
                <w:rFonts w:ascii="Calibri" w:hAnsi="Calibri"/>
                <w:color w:val="000000"/>
                <w:sz w:val="22"/>
                <w:szCs w:val="22"/>
              </w:rPr>
            </w:pPr>
            <w:r>
              <w:rPr>
                <w:rFonts w:ascii="Calibri" w:hAnsi="Calibri"/>
                <w:color w:val="000000"/>
                <w:sz w:val="22"/>
                <w:szCs w:val="22"/>
              </w:rPr>
              <w:t>ООО "ГРУЗОВОЙ КОМПЛЕКС ШЕРЕМЕТЬЕВО"</w:t>
            </w:r>
          </w:p>
        </w:tc>
        <w:tc>
          <w:tcPr>
            <w:tcW w:w="1483" w:type="dxa"/>
            <w:tcBorders>
              <w:top w:val="nil"/>
              <w:left w:val="nil"/>
              <w:bottom w:val="single" w:sz="4" w:space="0" w:color="auto"/>
              <w:right w:val="single" w:sz="4" w:space="0" w:color="auto"/>
            </w:tcBorders>
            <w:shd w:val="clear" w:color="auto" w:fill="auto"/>
            <w:noWrap/>
            <w:vAlign w:val="bottom"/>
            <w:hideMark/>
          </w:tcPr>
          <w:p w14:paraId="7CC495EA"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1,76%</w:t>
            </w:r>
          </w:p>
        </w:tc>
        <w:tc>
          <w:tcPr>
            <w:tcW w:w="1276" w:type="dxa"/>
            <w:tcBorders>
              <w:top w:val="nil"/>
              <w:left w:val="nil"/>
              <w:bottom w:val="single" w:sz="4" w:space="0" w:color="auto"/>
              <w:right w:val="single" w:sz="4" w:space="0" w:color="auto"/>
            </w:tcBorders>
            <w:shd w:val="clear" w:color="auto" w:fill="auto"/>
            <w:noWrap/>
            <w:vAlign w:val="bottom"/>
            <w:hideMark/>
          </w:tcPr>
          <w:p w14:paraId="1CB83450" w14:textId="77777777" w:rsidR="002A6FD1" w:rsidRDefault="002A6FD1">
            <w:pPr>
              <w:jc w:val="right"/>
              <w:rPr>
                <w:rFonts w:ascii="Calibri" w:hAnsi="Calibri"/>
                <w:color w:val="000000"/>
                <w:sz w:val="22"/>
                <w:szCs w:val="22"/>
              </w:rPr>
            </w:pPr>
            <w:r>
              <w:rPr>
                <w:rFonts w:ascii="Calibri" w:hAnsi="Calibri"/>
                <w:color w:val="000000"/>
                <w:sz w:val="22"/>
                <w:szCs w:val="22"/>
              </w:rPr>
              <w:t>1,00%</w:t>
            </w:r>
          </w:p>
        </w:tc>
      </w:tr>
      <w:tr w:rsidR="002A6FD1" w14:paraId="014921A0"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3864C14" w14:textId="77777777" w:rsidR="002A6FD1" w:rsidRDefault="002A6FD1">
            <w:pPr>
              <w:rPr>
                <w:rFonts w:ascii="Calibri" w:hAnsi="Calibri"/>
                <w:color w:val="000000"/>
                <w:sz w:val="22"/>
                <w:szCs w:val="22"/>
              </w:rPr>
            </w:pPr>
            <w:r>
              <w:rPr>
                <w:rFonts w:ascii="Calibri" w:hAnsi="Calibri"/>
                <w:color w:val="000000"/>
                <w:sz w:val="22"/>
                <w:szCs w:val="22"/>
              </w:rPr>
              <w:t>АО  ГРУЗОВОЙ ТЕРМИНАЛ ПУЛКОВО</w:t>
            </w:r>
          </w:p>
        </w:tc>
        <w:tc>
          <w:tcPr>
            <w:tcW w:w="1483" w:type="dxa"/>
            <w:tcBorders>
              <w:top w:val="nil"/>
              <w:left w:val="nil"/>
              <w:bottom w:val="single" w:sz="4" w:space="0" w:color="auto"/>
              <w:right w:val="single" w:sz="4" w:space="0" w:color="auto"/>
            </w:tcBorders>
            <w:shd w:val="clear" w:color="auto" w:fill="auto"/>
            <w:noWrap/>
            <w:vAlign w:val="bottom"/>
            <w:hideMark/>
          </w:tcPr>
          <w:p w14:paraId="0221963A"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1,67%</w:t>
            </w:r>
          </w:p>
        </w:tc>
        <w:tc>
          <w:tcPr>
            <w:tcW w:w="1276" w:type="dxa"/>
            <w:tcBorders>
              <w:top w:val="nil"/>
              <w:left w:val="nil"/>
              <w:bottom w:val="single" w:sz="4" w:space="0" w:color="auto"/>
              <w:right w:val="single" w:sz="4" w:space="0" w:color="auto"/>
            </w:tcBorders>
            <w:shd w:val="clear" w:color="auto" w:fill="auto"/>
            <w:noWrap/>
            <w:vAlign w:val="bottom"/>
            <w:hideMark/>
          </w:tcPr>
          <w:p w14:paraId="5D8CE564" w14:textId="77777777" w:rsidR="002A6FD1" w:rsidRDefault="002A6FD1">
            <w:pPr>
              <w:jc w:val="right"/>
              <w:rPr>
                <w:rFonts w:ascii="Calibri" w:hAnsi="Calibri"/>
                <w:color w:val="000000"/>
                <w:sz w:val="22"/>
                <w:szCs w:val="22"/>
              </w:rPr>
            </w:pPr>
            <w:r>
              <w:rPr>
                <w:rFonts w:ascii="Calibri" w:hAnsi="Calibri"/>
                <w:color w:val="000000"/>
                <w:sz w:val="22"/>
                <w:szCs w:val="22"/>
              </w:rPr>
              <w:t>1,72%</w:t>
            </w:r>
          </w:p>
        </w:tc>
      </w:tr>
      <w:tr w:rsidR="002A6FD1" w14:paraId="2BC02944"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6D9B97A4" w14:textId="77777777" w:rsidR="002A6FD1" w:rsidRDefault="002A6FD1">
            <w:pPr>
              <w:rPr>
                <w:rFonts w:ascii="Calibri" w:hAnsi="Calibri"/>
                <w:color w:val="000000"/>
                <w:sz w:val="22"/>
                <w:szCs w:val="22"/>
              </w:rPr>
            </w:pPr>
            <w:r>
              <w:rPr>
                <w:rFonts w:ascii="Calibri" w:hAnsi="Calibri"/>
                <w:color w:val="000000"/>
                <w:sz w:val="22"/>
                <w:szCs w:val="22"/>
              </w:rPr>
              <w:t>ООО "Лесстройторг"</w:t>
            </w:r>
          </w:p>
        </w:tc>
        <w:tc>
          <w:tcPr>
            <w:tcW w:w="1483" w:type="dxa"/>
            <w:tcBorders>
              <w:top w:val="nil"/>
              <w:left w:val="nil"/>
              <w:bottom w:val="single" w:sz="4" w:space="0" w:color="auto"/>
              <w:right w:val="single" w:sz="4" w:space="0" w:color="auto"/>
            </w:tcBorders>
            <w:shd w:val="clear" w:color="auto" w:fill="auto"/>
            <w:noWrap/>
            <w:vAlign w:val="bottom"/>
            <w:hideMark/>
          </w:tcPr>
          <w:p w14:paraId="05156857"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1,66%</w:t>
            </w:r>
          </w:p>
        </w:tc>
        <w:tc>
          <w:tcPr>
            <w:tcW w:w="1276" w:type="dxa"/>
            <w:tcBorders>
              <w:top w:val="nil"/>
              <w:left w:val="nil"/>
              <w:bottom w:val="single" w:sz="4" w:space="0" w:color="auto"/>
              <w:right w:val="single" w:sz="4" w:space="0" w:color="auto"/>
            </w:tcBorders>
            <w:shd w:val="clear" w:color="auto" w:fill="auto"/>
            <w:noWrap/>
            <w:vAlign w:val="bottom"/>
            <w:hideMark/>
          </w:tcPr>
          <w:p w14:paraId="21509711" w14:textId="77777777" w:rsidR="002A6FD1" w:rsidRDefault="002A6FD1">
            <w:pPr>
              <w:jc w:val="right"/>
              <w:rPr>
                <w:rFonts w:ascii="Calibri" w:hAnsi="Calibri"/>
                <w:color w:val="000000"/>
                <w:sz w:val="22"/>
                <w:szCs w:val="22"/>
              </w:rPr>
            </w:pPr>
            <w:r>
              <w:rPr>
                <w:rFonts w:ascii="Calibri" w:hAnsi="Calibri"/>
                <w:color w:val="000000"/>
                <w:sz w:val="22"/>
                <w:szCs w:val="22"/>
              </w:rPr>
              <w:t>1,29%</w:t>
            </w:r>
          </w:p>
        </w:tc>
      </w:tr>
      <w:tr w:rsidR="002A6FD1" w14:paraId="7FC74EFD"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05FBD120" w14:textId="77777777" w:rsidR="002A6FD1" w:rsidRDefault="002A6FD1">
            <w:pPr>
              <w:rPr>
                <w:rFonts w:ascii="Calibri" w:hAnsi="Calibri"/>
                <w:color w:val="000000"/>
                <w:sz w:val="22"/>
                <w:szCs w:val="22"/>
              </w:rPr>
            </w:pPr>
            <w:r>
              <w:rPr>
                <w:rFonts w:ascii="Calibri" w:hAnsi="Calibri"/>
                <w:color w:val="000000"/>
                <w:sz w:val="22"/>
                <w:szCs w:val="22"/>
              </w:rPr>
              <w:t>ООО "КВ Терминал"</w:t>
            </w:r>
          </w:p>
        </w:tc>
        <w:tc>
          <w:tcPr>
            <w:tcW w:w="1483" w:type="dxa"/>
            <w:tcBorders>
              <w:top w:val="nil"/>
              <w:left w:val="nil"/>
              <w:bottom w:val="single" w:sz="4" w:space="0" w:color="auto"/>
              <w:right w:val="single" w:sz="4" w:space="0" w:color="auto"/>
            </w:tcBorders>
            <w:shd w:val="clear" w:color="auto" w:fill="auto"/>
            <w:noWrap/>
            <w:vAlign w:val="bottom"/>
            <w:hideMark/>
          </w:tcPr>
          <w:p w14:paraId="28926DAD"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1,58%</w:t>
            </w:r>
          </w:p>
        </w:tc>
        <w:tc>
          <w:tcPr>
            <w:tcW w:w="1276" w:type="dxa"/>
            <w:tcBorders>
              <w:top w:val="nil"/>
              <w:left w:val="nil"/>
              <w:bottom w:val="single" w:sz="4" w:space="0" w:color="auto"/>
              <w:right w:val="single" w:sz="4" w:space="0" w:color="auto"/>
            </w:tcBorders>
            <w:shd w:val="clear" w:color="auto" w:fill="auto"/>
            <w:noWrap/>
            <w:vAlign w:val="bottom"/>
            <w:hideMark/>
          </w:tcPr>
          <w:p w14:paraId="14865067" w14:textId="77777777" w:rsidR="002A6FD1" w:rsidRDefault="002A6FD1">
            <w:pPr>
              <w:jc w:val="right"/>
              <w:rPr>
                <w:rFonts w:ascii="Calibri" w:hAnsi="Calibri"/>
                <w:color w:val="000000"/>
                <w:sz w:val="22"/>
                <w:szCs w:val="22"/>
              </w:rPr>
            </w:pPr>
            <w:r>
              <w:rPr>
                <w:rFonts w:ascii="Calibri" w:hAnsi="Calibri"/>
                <w:color w:val="000000"/>
                <w:sz w:val="22"/>
                <w:szCs w:val="22"/>
              </w:rPr>
              <w:t>1,60%</w:t>
            </w:r>
          </w:p>
        </w:tc>
      </w:tr>
      <w:tr w:rsidR="002A6FD1" w14:paraId="0270E3EC"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1C2E3C5E" w14:textId="77777777" w:rsidR="002A6FD1" w:rsidRDefault="002A6FD1">
            <w:pPr>
              <w:rPr>
                <w:rFonts w:ascii="Calibri" w:hAnsi="Calibri"/>
                <w:color w:val="000000"/>
                <w:sz w:val="22"/>
                <w:szCs w:val="22"/>
              </w:rPr>
            </w:pPr>
            <w:r>
              <w:rPr>
                <w:rFonts w:ascii="Calibri" w:hAnsi="Calibri"/>
                <w:color w:val="000000"/>
                <w:sz w:val="22"/>
                <w:szCs w:val="22"/>
              </w:rPr>
              <w:t>ООО "ДОМОДЕДОВО КАРГО"</w:t>
            </w:r>
          </w:p>
        </w:tc>
        <w:tc>
          <w:tcPr>
            <w:tcW w:w="1483" w:type="dxa"/>
            <w:tcBorders>
              <w:top w:val="nil"/>
              <w:left w:val="nil"/>
              <w:bottom w:val="single" w:sz="4" w:space="0" w:color="auto"/>
              <w:right w:val="single" w:sz="4" w:space="0" w:color="auto"/>
            </w:tcBorders>
            <w:shd w:val="clear" w:color="auto" w:fill="auto"/>
            <w:noWrap/>
            <w:vAlign w:val="bottom"/>
            <w:hideMark/>
          </w:tcPr>
          <w:p w14:paraId="34CEB0C0"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1,23%</w:t>
            </w:r>
          </w:p>
        </w:tc>
        <w:tc>
          <w:tcPr>
            <w:tcW w:w="1276" w:type="dxa"/>
            <w:tcBorders>
              <w:top w:val="nil"/>
              <w:left w:val="nil"/>
              <w:bottom w:val="single" w:sz="4" w:space="0" w:color="auto"/>
              <w:right w:val="single" w:sz="4" w:space="0" w:color="auto"/>
            </w:tcBorders>
            <w:shd w:val="clear" w:color="auto" w:fill="auto"/>
            <w:noWrap/>
            <w:vAlign w:val="bottom"/>
            <w:hideMark/>
          </w:tcPr>
          <w:p w14:paraId="785F7DFA" w14:textId="77777777" w:rsidR="002A6FD1" w:rsidRDefault="002A6FD1">
            <w:pPr>
              <w:jc w:val="right"/>
              <w:rPr>
                <w:rFonts w:ascii="Calibri" w:hAnsi="Calibri"/>
                <w:color w:val="000000"/>
                <w:sz w:val="22"/>
                <w:szCs w:val="22"/>
              </w:rPr>
            </w:pPr>
            <w:r>
              <w:rPr>
                <w:rFonts w:ascii="Calibri" w:hAnsi="Calibri"/>
                <w:color w:val="000000"/>
                <w:sz w:val="22"/>
                <w:szCs w:val="22"/>
              </w:rPr>
              <w:t>0,96%</w:t>
            </w:r>
          </w:p>
        </w:tc>
      </w:tr>
      <w:tr w:rsidR="002A6FD1" w14:paraId="7BC82548"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3FE49134" w14:textId="77777777" w:rsidR="002A6FD1" w:rsidRDefault="002A6FD1">
            <w:pPr>
              <w:rPr>
                <w:rFonts w:ascii="Calibri" w:hAnsi="Calibri"/>
                <w:color w:val="000000"/>
                <w:sz w:val="22"/>
                <w:szCs w:val="22"/>
              </w:rPr>
            </w:pPr>
            <w:r>
              <w:rPr>
                <w:rFonts w:ascii="Calibri" w:hAnsi="Calibri"/>
                <w:color w:val="000000"/>
                <w:sz w:val="22"/>
                <w:szCs w:val="22"/>
              </w:rPr>
              <w:t>ООО "Парголовский ТЛК"</w:t>
            </w:r>
          </w:p>
        </w:tc>
        <w:tc>
          <w:tcPr>
            <w:tcW w:w="1483" w:type="dxa"/>
            <w:tcBorders>
              <w:top w:val="nil"/>
              <w:left w:val="nil"/>
              <w:bottom w:val="single" w:sz="4" w:space="0" w:color="auto"/>
              <w:right w:val="single" w:sz="4" w:space="0" w:color="auto"/>
            </w:tcBorders>
            <w:shd w:val="clear" w:color="auto" w:fill="auto"/>
            <w:noWrap/>
            <w:vAlign w:val="bottom"/>
            <w:hideMark/>
          </w:tcPr>
          <w:p w14:paraId="3EA341C6"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1,14%</w:t>
            </w:r>
          </w:p>
        </w:tc>
        <w:tc>
          <w:tcPr>
            <w:tcW w:w="1276" w:type="dxa"/>
            <w:tcBorders>
              <w:top w:val="nil"/>
              <w:left w:val="nil"/>
              <w:bottom w:val="single" w:sz="4" w:space="0" w:color="auto"/>
              <w:right w:val="single" w:sz="4" w:space="0" w:color="auto"/>
            </w:tcBorders>
            <w:shd w:val="clear" w:color="auto" w:fill="auto"/>
            <w:noWrap/>
            <w:vAlign w:val="bottom"/>
            <w:hideMark/>
          </w:tcPr>
          <w:p w14:paraId="181F1728" w14:textId="77777777" w:rsidR="002A6FD1" w:rsidRDefault="002A6FD1">
            <w:pPr>
              <w:jc w:val="right"/>
              <w:rPr>
                <w:rFonts w:ascii="Calibri" w:hAnsi="Calibri"/>
                <w:color w:val="000000"/>
                <w:sz w:val="22"/>
                <w:szCs w:val="22"/>
              </w:rPr>
            </w:pPr>
            <w:r>
              <w:rPr>
                <w:rFonts w:ascii="Calibri" w:hAnsi="Calibri"/>
                <w:color w:val="000000"/>
                <w:sz w:val="22"/>
                <w:szCs w:val="22"/>
              </w:rPr>
              <w:t>0,54%</w:t>
            </w:r>
          </w:p>
        </w:tc>
      </w:tr>
      <w:tr w:rsidR="002A6FD1" w14:paraId="3D4022AB"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84B2D7F" w14:textId="77777777" w:rsidR="002A6FD1" w:rsidRDefault="002A6FD1">
            <w:pPr>
              <w:rPr>
                <w:rFonts w:ascii="Calibri" w:hAnsi="Calibri"/>
                <w:color w:val="000000"/>
                <w:sz w:val="22"/>
                <w:szCs w:val="22"/>
              </w:rPr>
            </w:pPr>
            <w:r>
              <w:rPr>
                <w:rFonts w:ascii="Calibri" w:hAnsi="Calibri"/>
                <w:color w:val="000000"/>
                <w:sz w:val="22"/>
                <w:szCs w:val="22"/>
              </w:rPr>
              <w:t>ЗАО "Логистический центр "ЗАПАДНЫЕ ВОРОТА"</w:t>
            </w:r>
          </w:p>
        </w:tc>
        <w:tc>
          <w:tcPr>
            <w:tcW w:w="1483" w:type="dxa"/>
            <w:tcBorders>
              <w:top w:val="nil"/>
              <w:left w:val="nil"/>
              <w:bottom w:val="single" w:sz="4" w:space="0" w:color="auto"/>
              <w:right w:val="single" w:sz="4" w:space="0" w:color="auto"/>
            </w:tcBorders>
            <w:shd w:val="clear" w:color="auto" w:fill="auto"/>
            <w:noWrap/>
            <w:vAlign w:val="bottom"/>
            <w:hideMark/>
          </w:tcPr>
          <w:p w14:paraId="071D422C"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1,12%</w:t>
            </w:r>
          </w:p>
        </w:tc>
        <w:tc>
          <w:tcPr>
            <w:tcW w:w="1276" w:type="dxa"/>
            <w:tcBorders>
              <w:top w:val="nil"/>
              <w:left w:val="nil"/>
              <w:bottom w:val="single" w:sz="4" w:space="0" w:color="auto"/>
              <w:right w:val="single" w:sz="4" w:space="0" w:color="auto"/>
            </w:tcBorders>
            <w:shd w:val="clear" w:color="auto" w:fill="auto"/>
            <w:noWrap/>
            <w:vAlign w:val="bottom"/>
            <w:hideMark/>
          </w:tcPr>
          <w:p w14:paraId="08804E15" w14:textId="77777777" w:rsidR="002A6FD1" w:rsidRDefault="002A6FD1">
            <w:pPr>
              <w:jc w:val="right"/>
              <w:rPr>
                <w:rFonts w:ascii="Calibri" w:hAnsi="Calibri"/>
                <w:color w:val="000000"/>
                <w:sz w:val="22"/>
                <w:szCs w:val="22"/>
              </w:rPr>
            </w:pPr>
            <w:r>
              <w:rPr>
                <w:rFonts w:ascii="Calibri" w:hAnsi="Calibri"/>
                <w:color w:val="000000"/>
                <w:sz w:val="22"/>
                <w:szCs w:val="22"/>
              </w:rPr>
              <w:t>0,86%</w:t>
            </w:r>
          </w:p>
        </w:tc>
      </w:tr>
      <w:tr w:rsidR="002A6FD1" w14:paraId="2142F9A4"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607EC5F2" w14:textId="77777777" w:rsidR="002A6FD1" w:rsidRDefault="002A6FD1">
            <w:pPr>
              <w:rPr>
                <w:rFonts w:ascii="Calibri" w:hAnsi="Calibri"/>
                <w:color w:val="000000"/>
                <w:sz w:val="22"/>
                <w:szCs w:val="22"/>
              </w:rPr>
            </w:pPr>
            <w:r>
              <w:rPr>
                <w:rFonts w:ascii="Calibri" w:hAnsi="Calibri"/>
                <w:color w:val="000000"/>
                <w:sz w:val="22"/>
                <w:szCs w:val="22"/>
              </w:rPr>
              <w:t>ООО "САХАЛИНСКОЕ ТАМОЖЕННОЕ АГЕНТСТВО"</w:t>
            </w:r>
          </w:p>
        </w:tc>
        <w:tc>
          <w:tcPr>
            <w:tcW w:w="1483" w:type="dxa"/>
            <w:tcBorders>
              <w:top w:val="nil"/>
              <w:left w:val="nil"/>
              <w:bottom w:val="single" w:sz="4" w:space="0" w:color="auto"/>
              <w:right w:val="single" w:sz="4" w:space="0" w:color="auto"/>
            </w:tcBorders>
            <w:shd w:val="clear" w:color="auto" w:fill="auto"/>
            <w:noWrap/>
            <w:vAlign w:val="bottom"/>
            <w:hideMark/>
          </w:tcPr>
          <w:p w14:paraId="7A7CCE38"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1,07%</w:t>
            </w:r>
          </w:p>
        </w:tc>
        <w:tc>
          <w:tcPr>
            <w:tcW w:w="1276" w:type="dxa"/>
            <w:tcBorders>
              <w:top w:val="nil"/>
              <w:left w:val="nil"/>
              <w:bottom w:val="single" w:sz="4" w:space="0" w:color="auto"/>
              <w:right w:val="single" w:sz="4" w:space="0" w:color="auto"/>
            </w:tcBorders>
            <w:shd w:val="clear" w:color="auto" w:fill="auto"/>
            <w:noWrap/>
            <w:vAlign w:val="bottom"/>
            <w:hideMark/>
          </w:tcPr>
          <w:p w14:paraId="21003D78" w14:textId="77777777" w:rsidR="002A6FD1" w:rsidRDefault="002A6FD1">
            <w:pPr>
              <w:jc w:val="right"/>
              <w:rPr>
                <w:rFonts w:ascii="Calibri" w:hAnsi="Calibri"/>
                <w:color w:val="000000"/>
                <w:sz w:val="22"/>
                <w:szCs w:val="22"/>
              </w:rPr>
            </w:pPr>
            <w:r>
              <w:rPr>
                <w:rFonts w:ascii="Calibri" w:hAnsi="Calibri"/>
                <w:color w:val="000000"/>
                <w:sz w:val="22"/>
                <w:szCs w:val="22"/>
              </w:rPr>
              <w:t>1,05%</w:t>
            </w:r>
          </w:p>
        </w:tc>
      </w:tr>
      <w:tr w:rsidR="002A6FD1" w14:paraId="018ED8B5"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216FC246" w14:textId="77777777" w:rsidR="002A6FD1" w:rsidRDefault="002A6FD1">
            <w:pPr>
              <w:rPr>
                <w:rFonts w:ascii="Calibri" w:hAnsi="Calibri"/>
                <w:color w:val="000000"/>
                <w:sz w:val="22"/>
                <w:szCs w:val="22"/>
              </w:rPr>
            </w:pPr>
            <w:r>
              <w:rPr>
                <w:rFonts w:ascii="Calibri" w:hAnsi="Calibri"/>
                <w:color w:val="000000"/>
                <w:sz w:val="22"/>
                <w:szCs w:val="22"/>
              </w:rPr>
              <w:t>ООО "Терминал Никольский"</w:t>
            </w:r>
          </w:p>
        </w:tc>
        <w:tc>
          <w:tcPr>
            <w:tcW w:w="1483" w:type="dxa"/>
            <w:tcBorders>
              <w:top w:val="nil"/>
              <w:left w:val="nil"/>
              <w:bottom w:val="single" w:sz="4" w:space="0" w:color="auto"/>
              <w:right w:val="single" w:sz="4" w:space="0" w:color="auto"/>
            </w:tcBorders>
            <w:shd w:val="clear" w:color="auto" w:fill="auto"/>
            <w:noWrap/>
            <w:vAlign w:val="bottom"/>
            <w:hideMark/>
          </w:tcPr>
          <w:p w14:paraId="577CCC06"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0,74%</w:t>
            </w:r>
          </w:p>
        </w:tc>
        <w:tc>
          <w:tcPr>
            <w:tcW w:w="1276" w:type="dxa"/>
            <w:tcBorders>
              <w:top w:val="nil"/>
              <w:left w:val="nil"/>
              <w:bottom w:val="single" w:sz="4" w:space="0" w:color="auto"/>
              <w:right w:val="single" w:sz="4" w:space="0" w:color="auto"/>
            </w:tcBorders>
            <w:shd w:val="clear" w:color="auto" w:fill="auto"/>
            <w:noWrap/>
            <w:vAlign w:val="bottom"/>
            <w:hideMark/>
          </w:tcPr>
          <w:p w14:paraId="69ABDECA" w14:textId="77777777" w:rsidR="002A6FD1" w:rsidRDefault="002A6FD1">
            <w:pPr>
              <w:jc w:val="right"/>
              <w:rPr>
                <w:rFonts w:ascii="Calibri" w:hAnsi="Calibri"/>
                <w:color w:val="000000"/>
                <w:sz w:val="22"/>
                <w:szCs w:val="22"/>
              </w:rPr>
            </w:pPr>
            <w:r>
              <w:rPr>
                <w:rFonts w:ascii="Calibri" w:hAnsi="Calibri"/>
                <w:color w:val="000000"/>
                <w:sz w:val="22"/>
                <w:szCs w:val="22"/>
              </w:rPr>
              <w:t>1,15%</w:t>
            </w:r>
          </w:p>
        </w:tc>
      </w:tr>
      <w:tr w:rsidR="002A6FD1" w14:paraId="2FEFC963"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601C4BC1" w14:textId="77777777" w:rsidR="002A6FD1" w:rsidRDefault="002A6FD1">
            <w:pPr>
              <w:rPr>
                <w:rFonts w:ascii="Calibri" w:hAnsi="Calibri"/>
                <w:color w:val="000000"/>
                <w:sz w:val="22"/>
                <w:szCs w:val="22"/>
              </w:rPr>
            </w:pPr>
            <w:r>
              <w:rPr>
                <w:rFonts w:ascii="Calibri" w:hAnsi="Calibri"/>
                <w:color w:val="000000"/>
                <w:sz w:val="22"/>
                <w:szCs w:val="22"/>
              </w:rPr>
              <w:t>ООО "Южные Транспортные Линии"</w:t>
            </w:r>
          </w:p>
        </w:tc>
        <w:tc>
          <w:tcPr>
            <w:tcW w:w="1483" w:type="dxa"/>
            <w:tcBorders>
              <w:top w:val="nil"/>
              <w:left w:val="nil"/>
              <w:bottom w:val="single" w:sz="4" w:space="0" w:color="auto"/>
              <w:right w:val="single" w:sz="4" w:space="0" w:color="auto"/>
            </w:tcBorders>
            <w:shd w:val="clear" w:color="auto" w:fill="auto"/>
            <w:noWrap/>
            <w:vAlign w:val="bottom"/>
            <w:hideMark/>
          </w:tcPr>
          <w:p w14:paraId="38930734"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0,61%</w:t>
            </w:r>
          </w:p>
        </w:tc>
        <w:tc>
          <w:tcPr>
            <w:tcW w:w="1276" w:type="dxa"/>
            <w:tcBorders>
              <w:top w:val="nil"/>
              <w:left w:val="nil"/>
              <w:bottom w:val="single" w:sz="4" w:space="0" w:color="auto"/>
              <w:right w:val="single" w:sz="4" w:space="0" w:color="auto"/>
            </w:tcBorders>
            <w:shd w:val="clear" w:color="auto" w:fill="auto"/>
            <w:noWrap/>
            <w:vAlign w:val="bottom"/>
            <w:hideMark/>
          </w:tcPr>
          <w:p w14:paraId="7B881DE5" w14:textId="77777777" w:rsidR="002A6FD1" w:rsidRDefault="002A6FD1">
            <w:pPr>
              <w:jc w:val="right"/>
              <w:rPr>
                <w:rFonts w:ascii="Calibri" w:hAnsi="Calibri"/>
                <w:color w:val="000000"/>
                <w:sz w:val="22"/>
                <w:szCs w:val="22"/>
              </w:rPr>
            </w:pPr>
            <w:r>
              <w:rPr>
                <w:rFonts w:ascii="Calibri" w:hAnsi="Calibri"/>
                <w:color w:val="000000"/>
                <w:sz w:val="22"/>
                <w:szCs w:val="22"/>
              </w:rPr>
              <w:t>1,00%</w:t>
            </w:r>
          </w:p>
        </w:tc>
      </w:tr>
      <w:tr w:rsidR="002A6FD1" w14:paraId="5A854564"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1D0DA3B9" w14:textId="77777777" w:rsidR="002A6FD1" w:rsidRDefault="002A6FD1">
            <w:pPr>
              <w:rPr>
                <w:rFonts w:ascii="Calibri" w:hAnsi="Calibri"/>
                <w:color w:val="000000"/>
                <w:sz w:val="22"/>
                <w:szCs w:val="22"/>
              </w:rPr>
            </w:pPr>
            <w:r>
              <w:rPr>
                <w:rFonts w:ascii="Calibri" w:hAnsi="Calibri"/>
                <w:color w:val="000000"/>
                <w:sz w:val="22"/>
                <w:szCs w:val="22"/>
              </w:rPr>
              <w:t>ООО " Внуково Карго"</w:t>
            </w:r>
          </w:p>
        </w:tc>
        <w:tc>
          <w:tcPr>
            <w:tcW w:w="1483" w:type="dxa"/>
            <w:tcBorders>
              <w:top w:val="nil"/>
              <w:left w:val="nil"/>
              <w:bottom w:val="single" w:sz="4" w:space="0" w:color="auto"/>
              <w:right w:val="single" w:sz="4" w:space="0" w:color="auto"/>
            </w:tcBorders>
            <w:shd w:val="clear" w:color="auto" w:fill="auto"/>
            <w:noWrap/>
            <w:vAlign w:val="bottom"/>
            <w:hideMark/>
          </w:tcPr>
          <w:p w14:paraId="2F4EB1FF"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0,58%</w:t>
            </w:r>
          </w:p>
        </w:tc>
        <w:tc>
          <w:tcPr>
            <w:tcW w:w="1276" w:type="dxa"/>
            <w:tcBorders>
              <w:top w:val="nil"/>
              <w:left w:val="nil"/>
              <w:bottom w:val="single" w:sz="4" w:space="0" w:color="auto"/>
              <w:right w:val="single" w:sz="4" w:space="0" w:color="auto"/>
            </w:tcBorders>
            <w:shd w:val="clear" w:color="auto" w:fill="auto"/>
            <w:noWrap/>
            <w:vAlign w:val="bottom"/>
            <w:hideMark/>
          </w:tcPr>
          <w:p w14:paraId="790F498B" w14:textId="77777777" w:rsidR="002A6FD1" w:rsidRDefault="002A6FD1">
            <w:pPr>
              <w:jc w:val="right"/>
              <w:rPr>
                <w:rFonts w:ascii="Calibri" w:hAnsi="Calibri"/>
                <w:color w:val="000000"/>
                <w:sz w:val="22"/>
                <w:szCs w:val="22"/>
              </w:rPr>
            </w:pPr>
            <w:r>
              <w:rPr>
                <w:rFonts w:ascii="Calibri" w:hAnsi="Calibri"/>
                <w:color w:val="000000"/>
                <w:sz w:val="22"/>
                <w:szCs w:val="22"/>
              </w:rPr>
              <w:t>1,09%</w:t>
            </w:r>
          </w:p>
        </w:tc>
      </w:tr>
      <w:tr w:rsidR="002A6FD1" w14:paraId="01E591D7" w14:textId="77777777" w:rsidTr="002A6FD1">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5C3FCBF" w14:textId="77777777" w:rsidR="002A6FD1" w:rsidRDefault="002A6FD1">
            <w:pPr>
              <w:rPr>
                <w:rFonts w:ascii="Calibri" w:hAnsi="Calibri"/>
                <w:color w:val="000000"/>
                <w:sz w:val="22"/>
                <w:szCs w:val="22"/>
              </w:rPr>
            </w:pPr>
            <w:r>
              <w:rPr>
                <w:rFonts w:ascii="Calibri" w:hAnsi="Calibri"/>
                <w:color w:val="000000"/>
                <w:sz w:val="22"/>
                <w:szCs w:val="22"/>
              </w:rPr>
              <w:t>ОАО "Ульяновский комбинат строительных материалов"</w:t>
            </w:r>
          </w:p>
        </w:tc>
        <w:tc>
          <w:tcPr>
            <w:tcW w:w="1483" w:type="dxa"/>
            <w:tcBorders>
              <w:top w:val="nil"/>
              <w:left w:val="nil"/>
              <w:bottom w:val="single" w:sz="4" w:space="0" w:color="auto"/>
              <w:right w:val="single" w:sz="4" w:space="0" w:color="auto"/>
            </w:tcBorders>
            <w:shd w:val="clear" w:color="auto" w:fill="auto"/>
            <w:noWrap/>
            <w:vAlign w:val="bottom"/>
            <w:hideMark/>
          </w:tcPr>
          <w:p w14:paraId="0AC4090D" w14:textId="77777777" w:rsidR="002A6FD1" w:rsidRPr="002A6FD1" w:rsidRDefault="002A6FD1">
            <w:pPr>
              <w:jc w:val="right"/>
              <w:rPr>
                <w:rFonts w:ascii="Calibri" w:hAnsi="Calibri"/>
                <w:b/>
                <w:color w:val="000000"/>
                <w:sz w:val="22"/>
                <w:szCs w:val="22"/>
              </w:rPr>
            </w:pPr>
            <w:r w:rsidRPr="002A6FD1">
              <w:rPr>
                <w:rFonts w:ascii="Calibri" w:hAnsi="Calibri"/>
                <w:b/>
                <w:color w:val="000000"/>
                <w:sz w:val="22"/>
                <w:szCs w:val="22"/>
              </w:rPr>
              <w:t>0,35%</w:t>
            </w:r>
          </w:p>
        </w:tc>
        <w:tc>
          <w:tcPr>
            <w:tcW w:w="1276" w:type="dxa"/>
            <w:tcBorders>
              <w:top w:val="nil"/>
              <w:left w:val="nil"/>
              <w:bottom w:val="single" w:sz="4" w:space="0" w:color="auto"/>
              <w:right w:val="single" w:sz="4" w:space="0" w:color="auto"/>
            </w:tcBorders>
            <w:shd w:val="clear" w:color="auto" w:fill="auto"/>
            <w:noWrap/>
            <w:vAlign w:val="bottom"/>
            <w:hideMark/>
          </w:tcPr>
          <w:p w14:paraId="1D9BED26" w14:textId="77777777" w:rsidR="002A6FD1" w:rsidRDefault="002A6FD1">
            <w:pPr>
              <w:jc w:val="right"/>
              <w:rPr>
                <w:rFonts w:ascii="Calibri" w:hAnsi="Calibri"/>
                <w:color w:val="000000"/>
                <w:sz w:val="22"/>
                <w:szCs w:val="22"/>
              </w:rPr>
            </w:pPr>
            <w:r>
              <w:rPr>
                <w:rFonts w:ascii="Calibri" w:hAnsi="Calibri"/>
                <w:color w:val="000000"/>
                <w:sz w:val="22"/>
                <w:szCs w:val="22"/>
              </w:rPr>
              <w:t>2,56%</w:t>
            </w:r>
          </w:p>
        </w:tc>
      </w:tr>
    </w:tbl>
    <w:p w14:paraId="2DB2348A" w14:textId="77777777" w:rsidR="00A92D87" w:rsidRDefault="00A92D87" w:rsidP="00A92D87">
      <w:pPr>
        <w:pStyle w:val="ConsPlusNonformat"/>
        <w:widowControl/>
        <w:tabs>
          <w:tab w:val="num" w:pos="0"/>
        </w:tabs>
        <w:jc w:val="both"/>
        <w:rPr>
          <w:rFonts w:ascii="Times New Roman" w:hAnsi="Times New Roman" w:cs="Times New Roman"/>
          <w:b/>
          <w:sz w:val="28"/>
          <w:szCs w:val="28"/>
        </w:rPr>
        <w:sectPr w:rsidR="00A92D87" w:rsidSect="00FC570E">
          <w:headerReference w:type="even" r:id="rId10"/>
          <w:headerReference w:type="default" r:id="rId11"/>
          <w:footerReference w:type="even" r:id="rId12"/>
          <w:footerReference w:type="default" r:id="rId13"/>
          <w:pgSz w:w="11906" w:h="16838" w:code="9"/>
          <w:pgMar w:top="1135" w:right="749" w:bottom="1276" w:left="1267" w:header="432" w:footer="113" w:gutter="0"/>
          <w:cols w:space="708"/>
          <w:titlePg/>
          <w:docGrid w:linePitch="360"/>
        </w:sectPr>
      </w:pPr>
    </w:p>
    <w:p w14:paraId="130F7D3A" w14:textId="1216D8DF" w:rsidR="00F02952" w:rsidRDefault="00B2647E" w:rsidP="00A92D87">
      <w:pPr>
        <w:rPr>
          <w:noProof/>
        </w:rPr>
      </w:pPr>
      <w:r w:rsidRPr="00F02952">
        <w:rPr>
          <w:noProof/>
        </w:rPr>
        <mc:AlternateContent>
          <mc:Choice Requires="wps">
            <w:drawing>
              <wp:anchor distT="0" distB="0" distL="114300" distR="114300" simplePos="0" relativeHeight="251666944" behindDoc="0" locked="0" layoutInCell="1" allowOverlap="1" wp14:anchorId="57248513" wp14:editId="66B98680">
                <wp:simplePos x="0" y="0"/>
                <wp:positionH relativeFrom="column">
                  <wp:posOffset>-31115</wp:posOffset>
                </wp:positionH>
                <wp:positionV relativeFrom="paragraph">
                  <wp:posOffset>-306705</wp:posOffset>
                </wp:positionV>
                <wp:extent cx="9905999" cy="430887"/>
                <wp:effectExtent l="0" t="0" r="0" b="0"/>
                <wp:wrapNone/>
                <wp:docPr id="6" name="TextBox 5"/>
                <wp:cNvGraphicFramePr/>
                <a:graphic xmlns:a="http://schemas.openxmlformats.org/drawingml/2006/main">
                  <a:graphicData uri="http://schemas.microsoft.com/office/word/2010/wordprocessingShape">
                    <wps:wsp>
                      <wps:cNvSpPr txBox="1"/>
                      <wps:spPr>
                        <a:xfrm>
                          <a:off x="0" y="0"/>
                          <a:ext cx="9905999" cy="430887"/>
                        </a:xfrm>
                        <a:prstGeom prst="rect">
                          <a:avLst/>
                        </a:prstGeom>
                        <a:noFill/>
                      </wps:spPr>
                      <wps:txbx>
                        <w:txbxContent>
                          <w:p w14:paraId="77BB45FF" w14:textId="77777777" w:rsidR="00A106EE" w:rsidRDefault="00A106EE" w:rsidP="00F02952">
                            <w:pPr>
                              <w:pStyle w:val="af0"/>
                              <w:spacing w:before="0" w:beforeAutospacing="0" w:after="0"/>
                              <w:jc w:val="center"/>
                            </w:pPr>
                            <w:r>
                              <w:rPr>
                                <w:rFonts w:asciiTheme="minorHAnsi" w:hAnsi="Calibri" w:cstheme="minorBidi"/>
                                <w:b/>
                                <w:bCs/>
                                <w:color w:val="00828A"/>
                                <w:kern w:val="24"/>
                                <w:sz w:val="44"/>
                                <w:szCs w:val="44"/>
                              </w:rPr>
                              <w:t>Распределение долей владельцев СВХ (их групп лиц) на рынке в 2015 году</w:t>
                            </w:r>
                          </w:p>
                        </w:txbxContent>
                      </wps:txbx>
                      <wps:bodyPr wrap="square" rtlCol="0">
                        <a:spAutoFit/>
                      </wps:bodyPr>
                    </wps:wsp>
                  </a:graphicData>
                </a:graphic>
              </wp:anchor>
            </w:drawing>
          </mc:Choice>
          <mc:Fallback>
            <w:pict>
              <v:shapetype w14:anchorId="57248513" id="_x0000_t202" coordsize="21600,21600" o:spt="202" path="m,l,21600r21600,l21600,xe">
                <v:stroke joinstyle="miter"/>
                <v:path gradientshapeok="t" o:connecttype="rect"/>
              </v:shapetype>
              <v:shape id="TextBox 5" o:spid="_x0000_s1026" type="#_x0000_t202" style="position:absolute;margin-left:-2.45pt;margin-top:-24.15pt;width:780pt;height:33.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" filled="f" stroked="f">
                <v:textbox style="mso-fit-shape-to-text:t">
                  <w:txbxContent>
                    <w:p w14:paraId="77BB45FF" w14:textId="77777777" w:rsidR="00A106EE" w:rsidRDefault="00A106EE" w:rsidP="00F02952">
                      <w:pPr>
                        <w:pStyle w:val="af0"/>
                        <w:spacing w:before="0" w:beforeAutospacing="0" w:after="0"/>
                        <w:jc w:val="center"/>
                      </w:pPr>
                      <w:r>
                        <w:rPr>
                          <w:rFonts w:asciiTheme="minorHAnsi" w:hAnsi="Calibri" w:cstheme="minorBidi"/>
                          <w:b/>
                          <w:bCs/>
                          <w:color w:val="00828A"/>
                          <w:kern w:val="24"/>
                          <w:sz w:val="44"/>
                          <w:szCs w:val="44"/>
                        </w:rPr>
                        <w:t>Распределение долей владельцев СВХ (их групп лиц) на рынке в 2015 году</w:t>
                      </w:r>
                    </w:p>
                  </w:txbxContent>
                </v:textbox>
              </v:shape>
            </w:pict>
          </mc:Fallback>
        </mc:AlternateContent>
      </w:r>
    </w:p>
    <w:p w14:paraId="48342567" w14:textId="118A94FE" w:rsidR="00F02952" w:rsidRDefault="00B2647E" w:rsidP="00A92D87">
      <w:pPr>
        <w:rPr>
          <w:noProof/>
        </w:rPr>
      </w:pPr>
      <w:r w:rsidRPr="00F02952">
        <w:rPr>
          <w:noProof/>
        </w:rPr>
        <mc:AlternateContent>
          <mc:Choice Requires="wps">
            <w:drawing>
              <wp:anchor distT="0" distB="0" distL="114300" distR="114300" simplePos="0" relativeHeight="251668992" behindDoc="0" locked="0" layoutInCell="1" allowOverlap="1" wp14:anchorId="1919735B" wp14:editId="5B455AAD">
                <wp:simplePos x="0" y="0"/>
                <wp:positionH relativeFrom="column">
                  <wp:posOffset>1905</wp:posOffset>
                </wp:positionH>
                <wp:positionV relativeFrom="paragraph">
                  <wp:posOffset>16510</wp:posOffset>
                </wp:positionV>
                <wp:extent cx="1817914" cy="923330"/>
                <wp:effectExtent l="0" t="0" r="0" b="0"/>
                <wp:wrapNone/>
                <wp:docPr id="7" name="TextBox 6"/>
                <wp:cNvGraphicFramePr/>
                <a:graphic xmlns:a="http://schemas.openxmlformats.org/drawingml/2006/main">
                  <a:graphicData uri="http://schemas.microsoft.com/office/word/2010/wordprocessingShape">
                    <wps:wsp>
                      <wps:cNvSpPr txBox="1"/>
                      <wps:spPr>
                        <a:xfrm>
                          <a:off x="0" y="0"/>
                          <a:ext cx="1817914" cy="923330"/>
                        </a:xfrm>
                        <a:prstGeom prst="rect">
                          <a:avLst/>
                        </a:prstGeom>
                        <a:noFill/>
                      </wps:spPr>
                      <wps:txbx>
                        <w:txbxContent>
                          <w:p w14:paraId="586454D4" w14:textId="77777777" w:rsidR="00A106EE" w:rsidRDefault="00A106EE" w:rsidP="00F02952">
                            <w:pPr>
                              <w:pStyle w:val="af0"/>
                              <w:spacing w:before="0" w:beforeAutospacing="0" w:after="0"/>
                              <w:jc w:val="center"/>
                            </w:pPr>
                            <w:r>
                              <w:rPr>
                                <w:rFonts w:asciiTheme="minorHAnsi" w:hAnsi="Calibri" w:cstheme="minorBidi"/>
                                <w:i/>
                                <w:iCs/>
                                <w:color w:val="00828A"/>
                                <w:kern w:val="24"/>
                                <w:sz w:val="36"/>
                                <w:szCs w:val="36"/>
                              </w:rPr>
                              <w:t xml:space="preserve">Общий объем рынка 2015 - </w:t>
                            </w:r>
                          </w:p>
                          <w:p w14:paraId="1C173524" w14:textId="77777777" w:rsidR="00A106EE" w:rsidRDefault="00A106EE" w:rsidP="00F02952">
                            <w:pPr>
                              <w:pStyle w:val="af0"/>
                              <w:spacing w:before="0" w:beforeAutospacing="0" w:after="0"/>
                              <w:jc w:val="center"/>
                            </w:pPr>
                            <w:r>
                              <w:rPr>
                                <w:rFonts w:asciiTheme="minorHAnsi" w:hAnsi="Calibri" w:cstheme="minorBidi"/>
                                <w:i/>
                                <w:iCs/>
                                <w:color w:val="00828A"/>
                                <w:kern w:val="24"/>
                                <w:sz w:val="36"/>
                                <w:szCs w:val="36"/>
                              </w:rPr>
                              <w:t>12 880 млн. руб.</w:t>
                            </w:r>
                          </w:p>
                        </w:txbxContent>
                      </wps:txbx>
                      <wps:bodyPr wrap="square" rtlCol="0">
                        <a:spAutoFit/>
                      </wps:bodyPr>
                    </wps:wsp>
                  </a:graphicData>
                </a:graphic>
              </wp:anchor>
            </w:drawing>
          </mc:Choice>
          <mc:Fallback>
            <w:pict>
              <v:shape w14:anchorId="1919735B" id="TextBox 6" o:spid="_x0000_s1027" type="#_x0000_t202" style="position:absolute;margin-left:.15pt;margin-top:1.3pt;width:143.15pt;height:72.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" filled="f" stroked="f">
                <v:textbox style="mso-fit-shape-to-text:t">
                  <w:txbxContent>
                    <w:p w14:paraId="586454D4" w14:textId="77777777" w:rsidR="00A106EE" w:rsidRDefault="00A106EE" w:rsidP="00F02952">
                      <w:pPr>
                        <w:pStyle w:val="af0"/>
                        <w:spacing w:before="0" w:beforeAutospacing="0" w:after="0"/>
                        <w:jc w:val="center"/>
                      </w:pPr>
                      <w:r>
                        <w:rPr>
                          <w:rFonts w:asciiTheme="minorHAnsi" w:hAnsi="Calibri" w:cstheme="minorBidi"/>
                          <w:i/>
                          <w:iCs/>
                          <w:color w:val="00828A"/>
                          <w:kern w:val="24"/>
                          <w:sz w:val="36"/>
                          <w:szCs w:val="36"/>
                        </w:rPr>
                        <w:t xml:space="preserve">Общий объем рынка 2015 - </w:t>
                      </w:r>
                    </w:p>
                    <w:p w14:paraId="1C173524" w14:textId="77777777" w:rsidR="00A106EE" w:rsidRDefault="00A106EE" w:rsidP="00F02952">
                      <w:pPr>
                        <w:pStyle w:val="af0"/>
                        <w:spacing w:before="0" w:beforeAutospacing="0" w:after="0"/>
                        <w:jc w:val="center"/>
                      </w:pPr>
                      <w:r>
                        <w:rPr>
                          <w:rFonts w:asciiTheme="minorHAnsi" w:hAnsi="Calibri" w:cstheme="minorBidi"/>
                          <w:i/>
                          <w:iCs/>
                          <w:color w:val="00828A"/>
                          <w:kern w:val="24"/>
                          <w:sz w:val="36"/>
                          <w:szCs w:val="36"/>
                        </w:rPr>
                        <w:t>12 880 млн. руб.</w:t>
                      </w:r>
                    </w:p>
                  </w:txbxContent>
                </v:textbox>
              </v:shape>
            </w:pict>
          </mc:Fallback>
        </mc:AlternateContent>
      </w:r>
      <w:r w:rsidR="00F02952" w:rsidRPr="00F02952">
        <w:rPr>
          <w:noProof/>
        </w:rPr>
        <w:drawing>
          <wp:inline distT="0" distB="0" distL="0" distR="0" wp14:anchorId="0FC33C5F" wp14:editId="4FEFB1F2">
            <wp:extent cx="9872385" cy="6370804"/>
            <wp:effectExtent l="0" t="0" r="14605"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A25285" w14:textId="1637C722" w:rsidR="00F02952" w:rsidRDefault="00B2647E" w:rsidP="00A92D87">
      <w:pPr>
        <w:rPr>
          <w:noProof/>
        </w:rPr>
      </w:pPr>
      <w:r w:rsidRPr="000111D7">
        <w:rPr>
          <w:noProof/>
        </w:rPr>
        <mc:AlternateContent>
          <mc:Choice Requires="wps">
            <w:drawing>
              <wp:anchor distT="0" distB="0" distL="114300" distR="114300" simplePos="0" relativeHeight="251673088" behindDoc="0" locked="0" layoutInCell="1" allowOverlap="1" wp14:anchorId="34CD6125" wp14:editId="6578172B">
                <wp:simplePos x="0" y="0"/>
                <wp:positionH relativeFrom="column">
                  <wp:posOffset>1905</wp:posOffset>
                </wp:positionH>
                <wp:positionV relativeFrom="paragraph">
                  <wp:posOffset>19685</wp:posOffset>
                </wp:positionV>
                <wp:extent cx="1817914" cy="923330"/>
                <wp:effectExtent l="0" t="0" r="0" b="0"/>
                <wp:wrapNone/>
                <wp:docPr id="22" name="TextBox 6"/>
                <wp:cNvGraphicFramePr/>
                <a:graphic xmlns:a="http://schemas.openxmlformats.org/drawingml/2006/main">
                  <a:graphicData uri="http://schemas.microsoft.com/office/word/2010/wordprocessingShape">
                    <wps:wsp>
                      <wps:cNvSpPr txBox="1"/>
                      <wps:spPr>
                        <a:xfrm>
                          <a:off x="0" y="0"/>
                          <a:ext cx="1817914" cy="923330"/>
                        </a:xfrm>
                        <a:prstGeom prst="rect">
                          <a:avLst/>
                        </a:prstGeom>
                        <a:noFill/>
                      </wps:spPr>
                      <wps:txbx>
                        <w:txbxContent>
                          <w:p w14:paraId="4E7147C6" w14:textId="77777777" w:rsidR="00A106EE" w:rsidRDefault="00A106EE" w:rsidP="000111D7">
                            <w:pPr>
                              <w:pStyle w:val="af0"/>
                              <w:spacing w:before="0" w:beforeAutospacing="0" w:after="0"/>
                              <w:jc w:val="center"/>
                            </w:pPr>
                            <w:r>
                              <w:rPr>
                                <w:rFonts w:asciiTheme="minorHAnsi" w:hAnsi="Calibri" w:cstheme="minorBidi"/>
                                <w:i/>
                                <w:iCs/>
                                <w:color w:val="00828A"/>
                                <w:kern w:val="24"/>
                                <w:sz w:val="36"/>
                                <w:szCs w:val="36"/>
                              </w:rPr>
                              <w:t xml:space="preserve">Общий объем рынка 2016 - </w:t>
                            </w:r>
                          </w:p>
                          <w:p w14:paraId="6ADB5A48" w14:textId="77777777" w:rsidR="00A106EE" w:rsidRDefault="00A106EE" w:rsidP="000111D7">
                            <w:pPr>
                              <w:pStyle w:val="af0"/>
                              <w:spacing w:before="0" w:beforeAutospacing="0" w:after="0"/>
                              <w:jc w:val="center"/>
                            </w:pPr>
                            <w:r>
                              <w:rPr>
                                <w:rFonts w:asciiTheme="minorHAnsi" w:hAnsi="Calibri" w:cstheme="minorBidi"/>
                                <w:i/>
                                <w:iCs/>
                                <w:color w:val="00828A"/>
                                <w:kern w:val="24"/>
                                <w:sz w:val="36"/>
                                <w:szCs w:val="36"/>
                              </w:rPr>
                              <w:t>13 422 млн. руб.</w:t>
                            </w:r>
                          </w:p>
                        </w:txbxContent>
                      </wps:txbx>
                      <wps:bodyPr wrap="square" rtlCol="0">
                        <a:spAutoFit/>
                      </wps:bodyPr>
                    </wps:wsp>
                  </a:graphicData>
                </a:graphic>
              </wp:anchor>
            </w:drawing>
          </mc:Choice>
          <mc:Fallback>
            <w:pict>
              <v:shape w14:anchorId="34CD6125" id="_x0000_s1028" type="#_x0000_t202" style="position:absolute;margin-left:.15pt;margin-top:1.55pt;width:143.15pt;height:72.7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" filled="f" stroked="f">
                <v:textbox style="mso-fit-shape-to-text:t">
                  <w:txbxContent>
                    <w:p w14:paraId="4E7147C6" w14:textId="77777777" w:rsidR="00A106EE" w:rsidRDefault="00A106EE" w:rsidP="000111D7">
                      <w:pPr>
                        <w:pStyle w:val="af0"/>
                        <w:spacing w:before="0" w:beforeAutospacing="0" w:after="0"/>
                        <w:jc w:val="center"/>
                      </w:pPr>
                      <w:r>
                        <w:rPr>
                          <w:rFonts w:asciiTheme="minorHAnsi" w:hAnsi="Calibri" w:cstheme="minorBidi"/>
                          <w:i/>
                          <w:iCs/>
                          <w:color w:val="00828A"/>
                          <w:kern w:val="24"/>
                          <w:sz w:val="36"/>
                          <w:szCs w:val="36"/>
                        </w:rPr>
                        <w:t xml:space="preserve">Общий объем рынка 2016 - </w:t>
                      </w:r>
                    </w:p>
                    <w:p w14:paraId="6ADB5A48" w14:textId="77777777" w:rsidR="00A106EE" w:rsidRDefault="00A106EE" w:rsidP="000111D7">
                      <w:pPr>
                        <w:pStyle w:val="af0"/>
                        <w:spacing w:before="0" w:beforeAutospacing="0" w:after="0"/>
                        <w:jc w:val="center"/>
                      </w:pPr>
                      <w:r>
                        <w:rPr>
                          <w:rFonts w:asciiTheme="minorHAnsi" w:hAnsi="Calibri" w:cstheme="minorBidi"/>
                          <w:i/>
                          <w:iCs/>
                          <w:color w:val="00828A"/>
                          <w:kern w:val="24"/>
                          <w:sz w:val="36"/>
                          <w:szCs w:val="36"/>
                        </w:rPr>
                        <w:t>13 422 млн. руб.</w:t>
                      </w:r>
                    </w:p>
                  </w:txbxContent>
                </v:textbox>
              </v:shape>
            </w:pict>
          </mc:Fallback>
        </mc:AlternateContent>
      </w:r>
      <w:r w:rsidRPr="000111D7">
        <w:rPr>
          <w:noProof/>
        </w:rPr>
        <mc:AlternateContent>
          <mc:Choice Requires="wps">
            <w:drawing>
              <wp:anchor distT="0" distB="0" distL="114300" distR="114300" simplePos="0" relativeHeight="251671040" behindDoc="0" locked="0" layoutInCell="1" allowOverlap="1" wp14:anchorId="0111AEC3" wp14:editId="74DF1AF3">
                <wp:simplePos x="0" y="0"/>
                <wp:positionH relativeFrom="column">
                  <wp:posOffset>2540</wp:posOffset>
                </wp:positionH>
                <wp:positionV relativeFrom="paragraph">
                  <wp:posOffset>-411480</wp:posOffset>
                </wp:positionV>
                <wp:extent cx="9905999" cy="430887"/>
                <wp:effectExtent l="0" t="0" r="0" b="0"/>
                <wp:wrapNone/>
                <wp:docPr id="21" name="TextBox 5"/>
                <wp:cNvGraphicFramePr/>
                <a:graphic xmlns:a="http://schemas.openxmlformats.org/drawingml/2006/main">
                  <a:graphicData uri="http://schemas.microsoft.com/office/word/2010/wordprocessingShape">
                    <wps:wsp>
                      <wps:cNvSpPr txBox="1"/>
                      <wps:spPr>
                        <a:xfrm>
                          <a:off x="0" y="0"/>
                          <a:ext cx="9905999" cy="430887"/>
                        </a:xfrm>
                        <a:prstGeom prst="rect">
                          <a:avLst/>
                        </a:prstGeom>
                        <a:noFill/>
                      </wps:spPr>
                      <wps:txbx>
                        <w:txbxContent>
                          <w:p w14:paraId="260C45BE" w14:textId="77777777" w:rsidR="00A106EE" w:rsidRDefault="00A106EE" w:rsidP="000111D7">
                            <w:pPr>
                              <w:pStyle w:val="af0"/>
                              <w:spacing w:before="0" w:beforeAutospacing="0" w:after="0"/>
                              <w:jc w:val="center"/>
                            </w:pPr>
                            <w:r>
                              <w:rPr>
                                <w:rFonts w:asciiTheme="minorHAnsi" w:hAnsi="Calibri" w:cstheme="minorBidi"/>
                                <w:b/>
                                <w:bCs/>
                                <w:color w:val="00828A"/>
                                <w:kern w:val="24"/>
                                <w:sz w:val="44"/>
                                <w:szCs w:val="44"/>
                              </w:rPr>
                              <w:t>Распределение долей владельцев СВХ (их групп лиц) на рынке в 2016 году</w:t>
                            </w:r>
                          </w:p>
                        </w:txbxContent>
                      </wps:txbx>
                      <wps:bodyPr wrap="square" rtlCol="0">
                        <a:spAutoFit/>
                      </wps:bodyPr>
                    </wps:wsp>
                  </a:graphicData>
                </a:graphic>
              </wp:anchor>
            </w:drawing>
          </mc:Choice>
          <mc:Fallback>
            <w:pict>
              <v:shape w14:anchorId="0111AEC3" id="_x0000_s1029" type="#_x0000_t202" style="position:absolute;margin-left:.2pt;margin-top:-32.4pt;width:780pt;height:33.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" filled="f" stroked="f">
                <v:textbox style="mso-fit-shape-to-text:t">
                  <w:txbxContent>
                    <w:p w14:paraId="260C45BE" w14:textId="77777777" w:rsidR="00A106EE" w:rsidRDefault="00A106EE" w:rsidP="000111D7">
                      <w:pPr>
                        <w:pStyle w:val="af0"/>
                        <w:spacing w:before="0" w:beforeAutospacing="0" w:after="0"/>
                        <w:jc w:val="center"/>
                      </w:pPr>
                      <w:r>
                        <w:rPr>
                          <w:rFonts w:asciiTheme="minorHAnsi" w:hAnsi="Calibri" w:cstheme="minorBidi"/>
                          <w:b/>
                          <w:bCs/>
                          <w:color w:val="00828A"/>
                          <w:kern w:val="24"/>
                          <w:sz w:val="44"/>
                          <w:szCs w:val="44"/>
                        </w:rPr>
                        <w:t>Распределение долей владельцев СВХ (их групп лиц) на рынке в 2016 году</w:t>
                      </w:r>
                    </w:p>
                  </w:txbxContent>
                </v:textbox>
              </v:shape>
            </w:pict>
          </mc:Fallback>
        </mc:AlternateContent>
      </w:r>
      <w:r w:rsidR="000111D7" w:rsidRPr="000111D7">
        <w:rPr>
          <w:noProof/>
        </w:rPr>
        <w:drawing>
          <wp:inline distT="0" distB="0" distL="0" distR="0" wp14:anchorId="78562DDA" wp14:editId="1D2A0C58">
            <wp:extent cx="9906000" cy="64770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7F9EF9" w14:textId="77777777" w:rsidR="00DF5968" w:rsidRDefault="00DF5968">
      <w:pPr>
        <w:rPr>
          <w:noProof/>
        </w:rPr>
        <w:sectPr w:rsidR="00DF5968" w:rsidSect="00A92D87">
          <w:pgSz w:w="16838" w:h="11906" w:orient="landscape" w:code="9"/>
          <w:pgMar w:top="567" w:right="567" w:bottom="567" w:left="567" w:header="432" w:footer="113" w:gutter="0"/>
          <w:cols w:space="708"/>
          <w:docGrid w:linePitch="360"/>
        </w:sectPr>
      </w:pPr>
    </w:p>
    <w:p w14:paraId="56E080E7" w14:textId="402053E7" w:rsidR="005B372C" w:rsidRPr="00213AC9" w:rsidRDefault="005B372C" w:rsidP="00FC570E">
      <w:pPr>
        <w:pStyle w:val="ConsPlusNonformat"/>
        <w:widowControl/>
        <w:tabs>
          <w:tab w:val="num" w:pos="0"/>
        </w:tabs>
        <w:ind w:firstLine="709"/>
        <w:jc w:val="center"/>
        <w:outlineLvl w:val="0"/>
        <w:rPr>
          <w:rFonts w:ascii="Times New Roman" w:hAnsi="Times New Roman" w:cs="Times New Roman"/>
          <w:b/>
          <w:sz w:val="28"/>
          <w:szCs w:val="28"/>
        </w:rPr>
      </w:pPr>
      <w:bookmarkStart w:id="8" w:name="_Toc388459824"/>
      <w:r>
        <w:rPr>
          <w:rFonts w:ascii="Times New Roman" w:hAnsi="Times New Roman" w:cs="Times New Roman"/>
          <w:b/>
          <w:sz w:val="28"/>
          <w:szCs w:val="28"/>
          <w:lang w:val="en-US"/>
        </w:rPr>
        <w:t>VII</w:t>
      </w:r>
      <w:r w:rsidRPr="00213AC9">
        <w:rPr>
          <w:rFonts w:ascii="Times New Roman" w:hAnsi="Times New Roman" w:cs="Times New Roman"/>
          <w:b/>
          <w:sz w:val="28"/>
          <w:szCs w:val="28"/>
        </w:rPr>
        <w:t xml:space="preserve">. </w:t>
      </w:r>
      <w:r w:rsidR="009B41DE">
        <w:rPr>
          <w:rFonts w:ascii="Times New Roman" w:hAnsi="Times New Roman" w:cs="Times New Roman"/>
          <w:b/>
          <w:sz w:val="28"/>
          <w:szCs w:val="28"/>
        </w:rPr>
        <w:t xml:space="preserve">Определение уровня концентрации товарного рынка. </w:t>
      </w:r>
      <w:r w:rsidRPr="00213AC9">
        <w:rPr>
          <w:rFonts w:ascii="Times New Roman" w:hAnsi="Times New Roman" w:cs="Times New Roman"/>
          <w:b/>
          <w:sz w:val="28"/>
          <w:szCs w:val="28"/>
        </w:rPr>
        <w:t>Оценка состояния конкурентной среды на рынке</w:t>
      </w:r>
      <w:bookmarkEnd w:id="8"/>
    </w:p>
    <w:p w14:paraId="7DBE088A" w14:textId="77777777" w:rsidR="005B372C" w:rsidRPr="009B111E" w:rsidRDefault="005B372C" w:rsidP="00FC570E">
      <w:pPr>
        <w:pStyle w:val="ConsPlusNonformat"/>
        <w:widowControl/>
        <w:tabs>
          <w:tab w:val="num" w:pos="0"/>
        </w:tabs>
        <w:ind w:firstLine="709"/>
        <w:jc w:val="both"/>
        <w:rPr>
          <w:rFonts w:ascii="Times New Roman" w:hAnsi="Times New Roman" w:cs="Times New Roman"/>
          <w:b/>
          <w:sz w:val="28"/>
          <w:szCs w:val="28"/>
        </w:rPr>
      </w:pPr>
    </w:p>
    <w:p w14:paraId="7E5A822D" w14:textId="77777777" w:rsidR="005B372C" w:rsidRDefault="005B372C" w:rsidP="00FC570E">
      <w:pPr>
        <w:pStyle w:val="ConsPlusNonformat"/>
        <w:widowControl/>
        <w:tabs>
          <w:tab w:val="num" w:pos="0"/>
        </w:tabs>
        <w:ind w:firstLine="709"/>
        <w:jc w:val="both"/>
        <w:rPr>
          <w:rFonts w:ascii="Times New Roman" w:hAnsi="Times New Roman" w:cs="Times New Roman"/>
          <w:sz w:val="28"/>
          <w:szCs w:val="28"/>
        </w:rPr>
      </w:pPr>
      <w:r w:rsidRPr="00213AC9">
        <w:rPr>
          <w:rFonts w:ascii="Times New Roman" w:hAnsi="Times New Roman" w:cs="Times New Roman"/>
          <w:sz w:val="28"/>
          <w:szCs w:val="28"/>
        </w:rPr>
        <w:t>По результатам расчета хозяйствующих субъектов, имеющих до</w:t>
      </w:r>
      <w:r>
        <w:rPr>
          <w:rFonts w:ascii="Times New Roman" w:hAnsi="Times New Roman" w:cs="Times New Roman"/>
          <w:sz w:val="28"/>
          <w:szCs w:val="28"/>
        </w:rPr>
        <w:t>лю на рынке</w:t>
      </w:r>
      <w:r w:rsidRPr="00213AC9">
        <w:rPr>
          <w:rFonts w:ascii="Times New Roman" w:hAnsi="Times New Roman" w:cs="Times New Roman"/>
          <w:sz w:val="28"/>
          <w:szCs w:val="28"/>
        </w:rPr>
        <w:t xml:space="preserve"> более чем тридцать пять процентов</w:t>
      </w:r>
      <w:r w:rsidRPr="00922C23">
        <w:rPr>
          <w:rFonts w:ascii="Times New Roman" w:hAnsi="Times New Roman" w:cs="Times New Roman"/>
          <w:sz w:val="28"/>
          <w:szCs w:val="28"/>
        </w:rPr>
        <w:t>,</w:t>
      </w:r>
      <w:r w:rsidRPr="00F83864">
        <w:rPr>
          <w:rFonts w:ascii="Times New Roman" w:hAnsi="Times New Roman" w:cs="Times New Roman"/>
          <w:sz w:val="28"/>
          <w:szCs w:val="28"/>
        </w:rPr>
        <w:t xml:space="preserve"> </w:t>
      </w:r>
      <w:r>
        <w:rPr>
          <w:rFonts w:ascii="Times New Roman" w:hAnsi="Times New Roman" w:cs="Times New Roman"/>
          <w:sz w:val="28"/>
          <w:szCs w:val="28"/>
        </w:rPr>
        <w:t>не установлено.</w:t>
      </w:r>
      <w:r w:rsidRPr="00213AC9">
        <w:rPr>
          <w:rFonts w:ascii="Times New Roman" w:hAnsi="Times New Roman" w:cs="Times New Roman"/>
          <w:sz w:val="28"/>
          <w:szCs w:val="28"/>
        </w:rPr>
        <w:t xml:space="preserve"> </w:t>
      </w:r>
    </w:p>
    <w:p w14:paraId="36FD928C" w14:textId="77777777" w:rsidR="00287F47" w:rsidRPr="00824A58" w:rsidRDefault="00287F47" w:rsidP="00FC570E">
      <w:pPr>
        <w:pStyle w:val="ConsPlusNonformat"/>
        <w:widowControl/>
        <w:tabs>
          <w:tab w:val="num" w:pos="0"/>
        </w:tabs>
        <w:ind w:firstLine="709"/>
        <w:jc w:val="both"/>
        <w:rPr>
          <w:rFonts w:ascii="Times New Roman" w:hAnsi="Times New Roman" w:cs="Times New Roman"/>
          <w:sz w:val="28"/>
          <w:szCs w:val="28"/>
        </w:rPr>
      </w:pPr>
    </w:p>
    <w:p w14:paraId="7140F5DA" w14:textId="048326EF" w:rsidR="005B372C" w:rsidRPr="006F7F99" w:rsidRDefault="000F2816" w:rsidP="00FC570E">
      <w:pPr>
        <w:tabs>
          <w:tab w:val="num" w:pos="0"/>
        </w:tabs>
        <w:ind w:firstLine="709"/>
        <w:jc w:val="both"/>
        <w:rPr>
          <w:sz w:val="28"/>
          <w:szCs w:val="28"/>
        </w:rPr>
      </w:pPr>
      <w:r>
        <w:rPr>
          <w:sz w:val="28"/>
          <w:szCs w:val="28"/>
        </w:rPr>
        <w:t>В исследуемый период времени у</w:t>
      </w:r>
      <w:r w:rsidR="005B372C" w:rsidRPr="006F7F99">
        <w:rPr>
          <w:sz w:val="28"/>
          <w:szCs w:val="28"/>
        </w:rPr>
        <w:t>становлено присутствие хозяйствующего субъекта</w:t>
      </w:r>
      <w:r w:rsidR="00E300DC">
        <w:rPr>
          <w:sz w:val="28"/>
          <w:szCs w:val="28"/>
        </w:rPr>
        <w:t xml:space="preserve"> ведущего хозяйственную деят</w:t>
      </w:r>
      <w:r>
        <w:rPr>
          <w:sz w:val="28"/>
          <w:szCs w:val="28"/>
        </w:rPr>
        <w:t>ельность на исследуемом рынке и </w:t>
      </w:r>
      <w:r w:rsidR="005B372C" w:rsidRPr="006F7F99">
        <w:rPr>
          <w:sz w:val="28"/>
          <w:szCs w:val="28"/>
        </w:rPr>
        <w:t>аффилированного с государственным предприятием</w:t>
      </w:r>
      <w:r w:rsidR="005B372C" w:rsidRPr="006F7F99">
        <w:rPr>
          <w:b/>
          <w:sz w:val="28"/>
          <w:szCs w:val="28"/>
        </w:rPr>
        <w:t xml:space="preserve"> ФГУП «РОСТЭК»</w:t>
      </w:r>
      <w:r w:rsidR="005B372C" w:rsidRPr="006F7F99">
        <w:rPr>
          <w:sz w:val="28"/>
          <w:szCs w:val="28"/>
        </w:rPr>
        <w:t>, созданным ФТС России.</w:t>
      </w:r>
    </w:p>
    <w:p w14:paraId="69A6C876" w14:textId="0F173BC1" w:rsidR="005B372C" w:rsidRDefault="002E1200" w:rsidP="00FC570E">
      <w:pPr>
        <w:tabs>
          <w:tab w:val="num" w:pos="0"/>
        </w:tabs>
        <w:ind w:firstLine="709"/>
        <w:jc w:val="both"/>
        <w:rPr>
          <w:sz w:val="28"/>
          <w:szCs w:val="28"/>
        </w:rPr>
      </w:pPr>
      <w:r>
        <w:rPr>
          <w:sz w:val="28"/>
          <w:szCs w:val="28"/>
        </w:rPr>
        <w:t>Таким</w:t>
      </w:r>
      <w:r w:rsidR="006F7F99" w:rsidRPr="006F7F99">
        <w:rPr>
          <w:sz w:val="28"/>
          <w:szCs w:val="28"/>
        </w:rPr>
        <w:t xml:space="preserve"> хозяйствующим субъектом явля</w:t>
      </w:r>
      <w:r w:rsidR="000F2816">
        <w:rPr>
          <w:sz w:val="28"/>
          <w:szCs w:val="28"/>
        </w:rPr>
        <w:t>лся</w:t>
      </w:r>
      <w:r w:rsidR="005B372C" w:rsidRPr="006F7F99">
        <w:rPr>
          <w:sz w:val="28"/>
          <w:szCs w:val="28"/>
        </w:rPr>
        <w:t>:</w:t>
      </w:r>
      <w:r w:rsidR="001B4451">
        <w:rPr>
          <w:sz w:val="28"/>
          <w:szCs w:val="28"/>
        </w:rPr>
        <w:t xml:space="preserve"> </w:t>
      </w:r>
      <w:r w:rsidR="006F7F99" w:rsidRPr="006F7F99">
        <w:rPr>
          <w:sz w:val="28"/>
          <w:szCs w:val="28"/>
        </w:rPr>
        <w:t>ООО «</w:t>
      </w:r>
      <w:r w:rsidR="00CF2573">
        <w:rPr>
          <w:sz w:val="28"/>
          <w:szCs w:val="28"/>
        </w:rPr>
        <w:t>Система.</w:t>
      </w:r>
      <w:r w:rsidR="006F7F99" w:rsidRPr="006F7F99">
        <w:rPr>
          <w:sz w:val="28"/>
          <w:szCs w:val="28"/>
        </w:rPr>
        <w:t>ИТ»</w:t>
      </w:r>
      <w:r w:rsidR="005B372C" w:rsidRPr="006F7F99">
        <w:rPr>
          <w:sz w:val="28"/>
          <w:szCs w:val="28"/>
        </w:rPr>
        <w:t xml:space="preserve"> (1</w:t>
      </w:r>
      <w:r w:rsidR="006F7F99" w:rsidRPr="006F7F99">
        <w:rPr>
          <w:sz w:val="28"/>
          <w:szCs w:val="28"/>
        </w:rPr>
        <w:t>29085</w:t>
      </w:r>
      <w:r w:rsidR="005B372C" w:rsidRPr="006F7F99">
        <w:rPr>
          <w:sz w:val="28"/>
          <w:szCs w:val="28"/>
        </w:rPr>
        <w:t xml:space="preserve">, Москва г, </w:t>
      </w:r>
      <w:r w:rsidR="006F7F99" w:rsidRPr="006F7F99">
        <w:rPr>
          <w:sz w:val="28"/>
          <w:szCs w:val="28"/>
        </w:rPr>
        <w:t>Проспект Мира</w:t>
      </w:r>
      <w:r w:rsidR="005B372C" w:rsidRPr="006F7F99">
        <w:rPr>
          <w:sz w:val="28"/>
          <w:szCs w:val="28"/>
        </w:rPr>
        <w:t xml:space="preserve">, </w:t>
      </w:r>
      <w:r w:rsidR="006F7F99" w:rsidRPr="006F7F99">
        <w:rPr>
          <w:sz w:val="28"/>
          <w:szCs w:val="28"/>
        </w:rPr>
        <w:t xml:space="preserve">д. </w:t>
      </w:r>
      <w:r w:rsidR="005B372C" w:rsidRPr="006F7F99">
        <w:rPr>
          <w:sz w:val="28"/>
          <w:szCs w:val="28"/>
        </w:rPr>
        <w:t>1</w:t>
      </w:r>
      <w:r w:rsidR="006F7F99" w:rsidRPr="006F7F99">
        <w:rPr>
          <w:sz w:val="28"/>
          <w:szCs w:val="28"/>
        </w:rPr>
        <w:t>018, стр. 1</w:t>
      </w:r>
      <w:r w:rsidR="005B372C" w:rsidRPr="006F7F99">
        <w:rPr>
          <w:sz w:val="28"/>
          <w:szCs w:val="28"/>
        </w:rPr>
        <w:t>).</w:t>
      </w:r>
      <w:r w:rsidR="006E46AE">
        <w:rPr>
          <w:sz w:val="28"/>
          <w:szCs w:val="28"/>
        </w:rPr>
        <w:t xml:space="preserve"> </w:t>
      </w:r>
      <w:r w:rsidR="000F2816">
        <w:rPr>
          <w:sz w:val="28"/>
          <w:szCs w:val="28"/>
        </w:rPr>
        <w:t>Данная информация была представлена в ходе проведения исследования ООО «Система.</w:t>
      </w:r>
      <w:r w:rsidR="000F2816" w:rsidRPr="006E46AE">
        <w:rPr>
          <w:sz w:val="28"/>
          <w:szCs w:val="28"/>
        </w:rPr>
        <w:t>ИТ»</w:t>
      </w:r>
      <w:r w:rsidR="000F2816">
        <w:rPr>
          <w:sz w:val="28"/>
          <w:szCs w:val="28"/>
        </w:rPr>
        <w:t xml:space="preserve"> (входящий </w:t>
      </w:r>
      <w:r w:rsidR="006E46AE">
        <w:rPr>
          <w:sz w:val="28"/>
          <w:szCs w:val="28"/>
        </w:rPr>
        <w:t>от 16.10.2017 № 16/10-06</w:t>
      </w:r>
      <w:r w:rsidR="000F2816">
        <w:rPr>
          <w:sz w:val="28"/>
          <w:szCs w:val="28"/>
        </w:rPr>
        <w:t>)</w:t>
      </w:r>
      <w:r w:rsidR="006E46AE">
        <w:rPr>
          <w:sz w:val="28"/>
          <w:szCs w:val="28"/>
        </w:rPr>
        <w:t xml:space="preserve"> </w:t>
      </w:r>
      <w:r w:rsidR="000F2816">
        <w:rPr>
          <w:sz w:val="28"/>
          <w:szCs w:val="28"/>
        </w:rPr>
        <w:t>и включала в себя переч</w:t>
      </w:r>
      <w:r>
        <w:rPr>
          <w:sz w:val="28"/>
          <w:szCs w:val="28"/>
        </w:rPr>
        <w:t>е</w:t>
      </w:r>
      <w:r w:rsidR="000F2816">
        <w:rPr>
          <w:sz w:val="28"/>
          <w:szCs w:val="28"/>
        </w:rPr>
        <w:t>нь</w:t>
      </w:r>
      <w:r w:rsidR="006E46AE">
        <w:rPr>
          <w:sz w:val="28"/>
          <w:szCs w:val="28"/>
        </w:rPr>
        <w:t xml:space="preserve"> группы лиц, в том числе в виде древовидной схемы (Приложение № 3).</w:t>
      </w:r>
    </w:p>
    <w:p w14:paraId="1D52EEED" w14:textId="62DC43B2" w:rsidR="00785506" w:rsidRDefault="00785506" w:rsidP="00FC570E">
      <w:pPr>
        <w:tabs>
          <w:tab w:val="num" w:pos="0"/>
        </w:tabs>
        <w:ind w:firstLine="709"/>
        <w:jc w:val="both"/>
        <w:rPr>
          <w:sz w:val="28"/>
          <w:szCs w:val="28"/>
        </w:rPr>
      </w:pPr>
      <w:r>
        <w:rPr>
          <w:sz w:val="28"/>
          <w:szCs w:val="28"/>
        </w:rPr>
        <w:t xml:space="preserve">Хозяйственная деятельность указанным </w:t>
      </w:r>
      <w:r w:rsidR="00293BE6">
        <w:rPr>
          <w:sz w:val="28"/>
          <w:szCs w:val="28"/>
        </w:rPr>
        <w:t>владельцем СВХ</w:t>
      </w:r>
      <w:r>
        <w:rPr>
          <w:sz w:val="28"/>
          <w:szCs w:val="28"/>
        </w:rPr>
        <w:t xml:space="preserve"> в 2015-2016 гг. велась:</w:t>
      </w:r>
    </w:p>
    <w:p w14:paraId="3572C523" w14:textId="77777777" w:rsidR="00785506" w:rsidRDefault="00785506" w:rsidP="00FC570E">
      <w:pPr>
        <w:tabs>
          <w:tab w:val="num" w:pos="0"/>
        </w:tabs>
        <w:ind w:firstLine="709"/>
        <w:jc w:val="both"/>
        <w:rPr>
          <w:sz w:val="28"/>
          <w:szCs w:val="28"/>
        </w:rPr>
      </w:pPr>
    </w:p>
    <w:tbl>
      <w:tblPr>
        <w:tblStyle w:val="afc"/>
        <w:tblW w:w="0" w:type="auto"/>
        <w:jc w:val="center"/>
        <w:tblLook w:val="04A0" w:firstRow="1" w:lastRow="0" w:firstColumn="1" w:lastColumn="0" w:noHBand="0" w:noVBand="1"/>
      </w:tblPr>
      <w:tblGrid>
        <w:gridCol w:w="3535"/>
        <w:gridCol w:w="2143"/>
        <w:gridCol w:w="2782"/>
        <w:gridCol w:w="1385"/>
      </w:tblGrid>
      <w:tr w:rsidR="00785506" w:rsidRPr="00785506" w14:paraId="63E91BCD" w14:textId="77777777" w:rsidTr="00A106EE">
        <w:trPr>
          <w:trHeight w:val="245"/>
          <w:jc w:val="center"/>
        </w:trPr>
        <w:tc>
          <w:tcPr>
            <w:tcW w:w="3535" w:type="dxa"/>
            <w:vMerge w:val="restart"/>
            <w:hideMark/>
          </w:tcPr>
          <w:p w14:paraId="6CB5340F" w14:textId="11A4B931" w:rsidR="00785506" w:rsidRPr="00785506" w:rsidRDefault="00785506" w:rsidP="000F2816">
            <w:pPr>
              <w:tabs>
                <w:tab w:val="num" w:pos="0"/>
              </w:tabs>
              <w:rPr>
                <w:sz w:val="28"/>
                <w:szCs w:val="28"/>
              </w:rPr>
            </w:pPr>
            <w:r>
              <w:rPr>
                <w:sz w:val="28"/>
                <w:szCs w:val="28"/>
              </w:rPr>
              <w:t>ООО «Система.ИТ»</w:t>
            </w:r>
          </w:p>
        </w:tc>
        <w:tc>
          <w:tcPr>
            <w:tcW w:w="2143" w:type="dxa"/>
            <w:hideMark/>
          </w:tcPr>
          <w:p w14:paraId="1F719DE7" w14:textId="2249C726" w:rsidR="00785506" w:rsidRPr="00785506" w:rsidRDefault="00785506" w:rsidP="00FC570E">
            <w:pPr>
              <w:tabs>
                <w:tab w:val="num" w:pos="0"/>
              </w:tabs>
              <w:ind w:firstLine="709"/>
              <w:jc w:val="center"/>
              <w:rPr>
                <w:iCs/>
                <w:sz w:val="28"/>
                <w:szCs w:val="28"/>
              </w:rPr>
            </w:pPr>
            <w:r w:rsidRPr="00785506">
              <w:rPr>
                <w:iCs/>
                <w:sz w:val="28"/>
                <w:szCs w:val="28"/>
              </w:rPr>
              <w:t>2015</w:t>
            </w:r>
          </w:p>
        </w:tc>
        <w:tc>
          <w:tcPr>
            <w:tcW w:w="2782" w:type="dxa"/>
            <w:hideMark/>
          </w:tcPr>
          <w:p w14:paraId="64C3622F" w14:textId="20A24C54" w:rsidR="00785506" w:rsidRPr="00785506" w:rsidRDefault="00785506" w:rsidP="000F2816">
            <w:pPr>
              <w:tabs>
                <w:tab w:val="num" w:pos="0"/>
              </w:tabs>
              <w:jc w:val="both"/>
              <w:rPr>
                <w:sz w:val="28"/>
                <w:szCs w:val="28"/>
              </w:rPr>
            </w:pPr>
            <w:r>
              <w:rPr>
                <w:sz w:val="28"/>
                <w:szCs w:val="28"/>
              </w:rPr>
              <w:t>14 794 тыс. руб.</w:t>
            </w:r>
          </w:p>
        </w:tc>
        <w:tc>
          <w:tcPr>
            <w:tcW w:w="1385" w:type="dxa"/>
            <w:hideMark/>
          </w:tcPr>
          <w:p w14:paraId="369A98EA" w14:textId="0C13BE1D" w:rsidR="00785506" w:rsidRPr="00785506" w:rsidRDefault="00785506" w:rsidP="000F2816">
            <w:pPr>
              <w:tabs>
                <w:tab w:val="num" w:pos="0"/>
              </w:tabs>
              <w:jc w:val="both"/>
              <w:rPr>
                <w:sz w:val="28"/>
                <w:szCs w:val="28"/>
              </w:rPr>
            </w:pPr>
            <w:r w:rsidRPr="00785506">
              <w:rPr>
                <w:sz w:val="28"/>
                <w:szCs w:val="28"/>
              </w:rPr>
              <w:t>0,11</w:t>
            </w:r>
            <w:r w:rsidR="004A4F4C">
              <w:rPr>
                <w:sz w:val="28"/>
                <w:szCs w:val="28"/>
              </w:rPr>
              <w:t xml:space="preserve"> </w:t>
            </w:r>
            <w:r w:rsidRPr="00785506">
              <w:rPr>
                <w:sz w:val="28"/>
                <w:szCs w:val="28"/>
              </w:rPr>
              <w:t>%</w:t>
            </w:r>
          </w:p>
        </w:tc>
      </w:tr>
      <w:tr w:rsidR="00785506" w:rsidRPr="00785506" w14:paraId="72FEBA7E" w14:textId="77777777" w:rsidTr="00A106EE">
        <w:trPr>
          <w:trHeight w:val="245"/>
          <w:jc w:val="center"/>
        </w:trPr>
        <w:tc>
          <w:tcPr>
            <w:tcW w:w="3535" w:type="dxa"/>
            <w:vMerge/>
            <w:hideMark/>
          </w:tcPr>
          <w:p w14:paraId="28A30BA0" w14:textId="2EBC9DBD" w:rsidR="00785506" w:rsidRPr="00785506" w:rsidRDefault="00785506" w:rsidP="00FC570E">
            <w:pPr>
              <w:tabs>
                <w:tab w:val="num" w:pos="0"/>
              </w:tabs>
              <w:ind w:firstLine="709"/>
              <w:rPr>
                <w:color w:val="000000"/>
                <w:sz w:val="28"/>
                <w:szCs w:val="28"/>
              </w:rPr>
            </w:pPr>
          </w:p>
        </w:tc>
        <w:tc>
          <w:tcPr>
            <w:tcW w:w="2143" w:type="dxa"/>
            <w:hideMark/>
          </w:tcPr>
          <w:p w14:paraId="6AC22281" w14:textId="0BC1BBAE" w:rsidR="00785506" w:rsidRPr="00785506" w:rsidRDefault="00785506" w:rsidP="00FC570E">
            <w:pPr>
              <w:tabs>
                <w:tab w:val="num" w:pos="0"/>
              </w:tabs>
              <w:ind w:firstLine="709"/>
              <w:jc w:val="center"/>
              <w:rPr>
                <w:iCs/>
                <w:color w:val="000000"/>
                <w:sz w:val="28"/>
                <w:szCs w:val="28"/>
              </w:rPr>
            </w:pPr>
            <w:r w:rsidRPr="00785506">
              <w:rPr>
                <w:iCs/>
                <w:color w:val="000000"/>
                <w:sz w:val="28"/>
                <w:szCs w:val="28"/>
              </w:rPr>
              <w:t>2016</w:t>
            </w:r>
          </w:p>
        </w:tc>
        <w:tc>
          <w:tcPr>
            <w:tcW w:w="2782" w:type="dxa"/>
            <w:noWrap/>
            <w:hideMark/>
          </w:tcPr>
          <w:p w14:paraId="34B29E6F" w14:textId="5B49015B" w:rsidR="00785506" w:rsidRPr="00785506" w:rsidRDefault="00785506" w:rsidP="000F2816">
            <w:pPr>
              <w:tabs>
                <w:tab w:val="num" w:pos="0"/>
              </w:tabs>
              <w:rPr>
                <w:color w:val="000000"/>
                <w:sz w:val="28"/>
                <w:szCs w:val="28"/>
              </w:rPr>
            </w:pPr>
            <w:r>
              <w:rPr>
                <w:color w:val="000000"/>
                <w:sz w:val="28"/>
                <w:szCs w:val="28"/>
              </w:rPr>
              <w:t>23 939 тыс. руб.</w:t>
            </w:r>
          </w:p>
        </w:tc>
        <w:tc>
          <w:tcPr>
            <w:tcW w:w="1385" w:type="dxa"/>
            <w:noWrap/>
            <w:hideMark/>
          </w:tcPr>
          <w:p w14:paraId="4374CD8F" w14:textId="6C7109B1" w:rsidR="00785506" w:rsidRPr="00785506" w:rsidRDefault="00785506" w:rsidP="000F2816">
            <w:pPr>
              <w:tabs>
                <w:tab w:val="num" w:pos="0"/>
              </w:tabs>
              <w:rPr>
                <w:color w:val="000000"/>
                <w:sz w:val="28"/>
                <w:szCs w:val="28"/>
              </w:rPr>
            </w:pPr>
            <w:r w:rsidRPr="00785506">
              <w:rPr>
                <w:color w:val="000000"/>
                <w:sz w:val="28"/>
                <w:szCs w:val="28"/>
              </w:rPr>
              <w:t>0,18</w:t>
            </w:r>
            <w:r w:rsidR="004A4F4C">
              <w:rPr>
                <w:color w:val="000000"/>
                <w:sz w:val="28"/>
                <w:szCs w:val="28"/>
              </w:rPr>
              <w:t xml:space="preserve"> </w:t>
            </w:r>
            <w:r w:rsidRPr="00785506">
              <w:rPr>
                <w:color w:val="000000"/>
                <w:sz w:val="28"/>
                <w:szCs w:val="28"/>
              </w:rPr>
              <w:t>%</w:t>
            </w:r>
          </w:p>
        </w:tc>
      </w:tr>
    </w:tbl>
    <w:p w14:paraId="3DF40C17" w14:textId="77777777" w:rsidR="00785506" w:rsidRPr="00785506" w:rsidRDefault="00785506" w:rsidP="00FC570E">
      <w:pPr>
        <w:tabs>
          <w:tab w:val="num" w:pos="0"/>
        </w:tabs>
        <w:ind w:firstLine="709"/>
        <w:jc w:val="both"/>
        <w:rPr>
          <w:sz w:val="28"/>
          <w:szCs w:val="28"/>
        </w:rPr>
      </w:pPr>
    </w:p>
    <w:p w14:paraId="55076BA1" w14:textId="259A0047" w:rsidR="00DB4A82" w:rsidRDefault="00DB4A82" w:rsidP="00FC570E">
      <w:pPr>
        <w:tabs>
          <w:tab w:val="num" w:pos="0"/>
        </w:tabs>
        <w:spacing w:line="20" w:lineRule="atLeast"/>
        <w:ind w:firstLine="709"/>
        <w:jc w:val="both"/>
        <w:rPr>
          <w:sz w:val="28"/>
          <w:szCs w:val="28"/>
        </w:rPr>
      </w:pPr>
      <w:r>
        <w:rPr>
          <w:sz w:val="28"/>
          <w:szCs w:val="28"/>
        </w:rPr>
        <w:t>В соответствии с частью 3 статьи 34</w:t>
      </w:r>
      <w:r w:rsidR="002E3C0C" w:rsidRPr="002E3C0C">
        <w:rPr>
          <w:rStyle w:val="af7"/>
        </w:rPr>
        <w:t xml:space="preserve"> </w:t>
      </w:r>
      <w:r>
        <w:rPr>
          <w:sz w:val="28"/>
          <w:szCs w:val="28"/>
        </w:rPr>
        <w:t xml:space="preserve">Закона о таможенном </w:t>
      </w:r>
      <w:r w:rsidRPr="000462CF">
        <w:rPr>
          <w:sz w:val="28"/>
          <w:szCs w:val="28"/>
        </w:rPr>
        <w:t>регулировании</w:t>
      </w:r>
      <w:r>
        <w:rPr>
          <w:sz w:val="28"/>
          <w:szCs w:val="28"/>
        </w:rPr>
        <w:t xml:space="preserve"> о</w:t>
      </w:r>
      <w:r w:rsidRPr="000462CF">
        <w:rPr>
          <w:sz w:val="28"/>
          <w:szCs w:val="28"/>
        </w:rPr>
        <w:t>рганизации и государственные унитарные предприятия</w:t>
      </w:r>
      <w:r>
        <w:rPr>
          <w:sz w:val="28"/>
          <w:szCs w:val="28"/>
        </w:rPr>
        <w:t xml:space="preserve"> таможенных органов</w:t>
      </w:r>
      <w:r w:rsidRPr="000462CF">
        <w:rPr>
          <w:sz w:val="28"/>
          <w:szCs w:val="28"/>
        </w:rPr>
        <w:t>, включая их филиалы и представительства, а также иные организации, участниками (членами) которых прямо или косвенно являются эти организации или государственные унитарные предприятия, не могут осуществлять деятельность в сфере таможенного дела</w:t>
      </w:r>
      <w:r>
        <w:rPr>
          <w:sz w:val="28"/>
          <w:szCs w:val="28"/>
        </w:rPr>
        <w:t>.</w:t>
      </w:r>
    </w:p>
    <w:p w14:paraId="62430691" w14:textId="095FE709" w:rsidR="003064DA" w:rsidRDefault="003064DA" w:rsidP="00FC570E">
      <w:pPr>
        <w:tabs>
          <w:tab w:val="num" w:pos="0"/>
        </w:tabs>
        <w:spacing w:line="20" w:lineRule="atLeast"/>
        <w:ind w:firstLine="709"/>
        <w:jc w:val="both"/>
        <w:rPr>
          <w:sz w:val="28"/>
          <w:szCs w:val="28"/>
        </w:rPr>
      </w:pPr>
      <w:r>
        <w:rPr>
          <w:sz w:val="28"/>
          <w:szCs w:val="28"/>
        </w:rPr>
        <w:t xml:space="preserve">В настоящее время ФТС России должна была реализовать </w:t>
      </w:r>
      <w:r w:rsidRPr="003064DA">
        <w:rPr>
          <w:sz w:val="28"/>
          <w:szCs w:val="28"/>
        </w:rPr>
        <w:t>исключение из реестров лиц, осуществляющих деятельность в сфере таможенного дела, организаций, находящихся в ведении ФТС России и ФГУП «РОСТЭК».</w:t>
      </w:r>
    </w:p>
    <w:p w14:paraId="06816D9C" w14:textId="405DC454" w:rsidR="00E300DC" w:rsidRPr="00ED3B8A" w:rsidRDefault="00E300DC" w:rsidP="00FC570E">
      <w:pPr>
        <w:tabs>
          <w:tab w:val="num" w:pos="0"/>
        </w:tabs>
        <w:spacing w:line="20" w:lineRule="atLeast"/>
        <w:ind w:firstLine="709"/>
        <w:jc w:val="both"/>
        <w:rPr>
          <w:sz w:val="28"/>
          <w:szCs w:val="28"/>
        </w:rPr>
      </w:pPr>
      <w:r>
        <w:rPr>
          <w:sz w:val="28"/>
          <w:szCs w:val="28"/>
        </w:rPr>
        <w:t xml:space="preserve">Таким образом </w:t>
      </w:r>
      <w:r w:rsidR="003064DA">
        <w:rPr>
          <w:sz w:val="28"/>
          <w:szCs w:val="28"/>
        </w:rPr>
        <w:t xml:space="preserve">ситуация при которой хозяйствующий субъект, </w:t>
      </w:r>
      <w:r w:rsidR="003064DA" w:rsidRPr="00ED3B8A">
        <w:rPr>
          <w:sz w:val="28"/>
          <w:szCs w:val="28"/>
        </w:rPr>
        <w:t xml:space="preserve">аффилированный с </w:t>
      </w:r>
      <w:r w:rsidRPr="00ED3B8A">
        <w:rPr>
          <w:sz w:val="28"/>
          <w:szCs w:val="28"/>
        </w:rPr>
        <w:t>ФГУП «РОСТЭК»</w:t>
      </w:r>
      <w:r w:rsidR="003064DA" w:rsidRPr="00ED3B8A">
        <w:rPr>
          <w:sz w:val="28"/>
          <w:szCs w:val="28"/>
        </w:rPr>
        <w:t xml:space="preserve">, </w:t>
      </w:r>
      <w:r w:rsidR="002E1200" w:rsidRPr="00ED3B8A">
        <w:rPr>
          <w:sz w:val="28"/>
          <w:szCs w:val="28"/>
        </w:rPr>
        <w:t>осуществлял</w:t>
      </w:r>
      <w:r w:rsidR="003064DA" w:rsidRPr="00ED3B8A">
        <w:rPr>
          <w:sz w:val="28"/>
          <w:szCs w:val="28"/>
        </w:rPr>
        <w:t xml:space="preserve"> деятельность в сфере таможенного дела </w:t>
      </w:r>
      <w:r w:rsidR="002E1200" w:rsidRPr="00ED3B8A">
        <w:rPr>
          <w:sz w:val="28"/>
          <w:szCs w:val="28"/>
        </w:rPr>
        <w:t>–</w:t>
      </w:r>
      <w:r w:rsidR="003064DA" w:rsidRPr="00ED3B8A">
        <w:rPr>
          <w:sz w:val="28"/>
          <w:szCs w:val="28"/>
        </w:rPr>
        <w:t xml:space="preserve"> </w:t>
      </w:r>
      <w:r w:rsidR="002E1200" w:rsidRPr="00ED3B8A">
        <w:rPr>
          <w:sz w:val="28"/>
          <w:szCs w:val="28"/>
        </w:rPr>
        <w:t xml:space="preserve">могло </w:t>
      </w:r>
      <w:r w:rsidR="003064DA" w:rsidRPr="00ED3B8A">
        <w:rPr>
          <w:sz w:val="28"/>
          <w:szCs w:val="28"/>
        </w:rPr>
        <w:t>име</w:t>
      </w:r>
      <w:r w:rsidR="002E1200" w:rsidRPr="00ED3B8A">
        <w:rPr>
          <w:sz w:val="28"/>
          <w:szCs w:val="28"/>
        </w:rPr>
        <w:t>ть</w:t>
      </w:r>
      <w:r w:rsidR="003064DA" w:rsidRPr="00ED3B8A">
        <w:rPr>
          <w:sz w:val="28"/>
          <w:szCs w:val="28"/>
        </w:rPr>
        <w:t xml:space="preserve"> признаки нарушения норм</w:t>
      </w:r>
      <w:r w:rsidRPr="00ED3B8A">
        <w:rPr>
          <w:sz w:val="28"/>
          <w:szCs w:val="28"/>
        </w:rPr>
        <w:t xml:space="preserve"> таможенного законодательства</w:t>
      </w:r>
      <w:r w:rsidR="003064DA" w:rsidRPr="00ED3B8A">
        <w:rPr>
          <w:sz w:val="28"/>
          <w:szCs w:val="28"/>
        </w:rPr>
        <w:t>.</w:t>
      </w:r>
    </w:p>
    <w:p w14:paraId="70381CA7" w14:textId="5CE217ED" w:rsidR="00A106EE" w:rsidRPr="00ED3B8A" w:rsidRDefault="00A106EE" w:rsidP="00FC570E">
      <w:pPr>
        <w:tabs>
          <w:tab w:val="num" w:pos="0"/>
        </w:tabs>
        <w:spacing w:line="20" w:lineRule="atLeast"/>
        <w:ind w:firstLine="709"/>
        <w:jc w:val="both"/>
        <w:rPr>
          <w:sz w:val="28"/>
          <w:szCs w:val="28"/>
        </w:rPr>
      </w:pPr>
      <w:r w:rsidRPr="00ED3B8A">
        <w:rPr>
          <w:sz w:val="28"/>
          <w:szCs w:val="28"/>
        </w:rPr>
        <w:t xml:space="preserve"> При этом </w:t>
      </w:r>
      <w:r w:rsidR="00DD7945" w:rsidRPr="00ED3B8A">
        <w:rPr>
          <w:sz w:val="28"/>
          <w:szCs w:val="28"/>
        </w:rPr>
        <w:t>необходимо</w:t>
      </w:r>
      <w:r w:rsidRPr="00ED3B8A">
        <w:rPr>
          <w:sz w:val="28"/>
          <w:szCs w:val="28"/>
        </w:rPr>
        <w:t xml:space="preserve"> отметить, что по результатам проведенного ранее анализа</w:t>
      </w:r>
      <w:r w:rsidR="00B5642A" w:rsidRPr="00ED3B8A">
        <w:rPr>
          <w:sz w:val="28"/>
          <w:szCs w:val="28"/>
        </w:rPr>
        <w:t xml:space="preserve"> состояния конкуренции на указанном рынке</w:t>
      </w:r>
      <w:r w:rsidR="003071C4" w:rsidRPr="00ED3B8A">
        <w:rPr>
          <w:sz w:val="28"/>
          <w:szCs w:val="28"/>
        </w:rPr>
        <w:t>,</w:t>
      </w:r>
      <w:r w:rsidRPr="00ED3B8A">
        <w:rPr>
          <w:sz w:val="28"/>
          <w:szCs w:val="28"/>
        </w:rPr>
        <w:t xml:space="preserve"> было установлено, что доля группы лиц ФГУП «РОСТЭК», подведомственного ФТС России</w:t>
      </w:r>
      <w:r w:rsidR="00DD7945" w:rsidRPr="00ED3B8A">
        <w:rPr>
          <w:sz w:val="28"/>
          <w:szCs w:val="28"/>
        </w:rPr>
        <w:t>, составляла в 2012 </w:t>
      </w:r>
      <w:r w:rsidRPr="00ED3B8A">
        <w:rPr>
          <w:sz w:val="28"/>
          <w:szCs w:val="28"/>
        </w:rPr>
        <w:t>году – 12,77 %</w:t>
      </w:r>
      <w:r w:rsidR="00B5642A" w:rsidRPr="00ED3B8A">
        <w:rPr>
          <w:sz w:val="28"/>
          <w:szCs w:val="28"/>
        </w:rPr>
        <w:t>, а в 2013 – 8,37 %</w:t>
      </w:r>
      <w:r w:rsidR="00DD7945" w:rsidRPr="00ED3B8A">
        <w:rPr>
          <w:sz w:val="28"/>
          <w:szCs w:val="28"/>
        </w:rPr>
        <w:t>, данные показатели свидетельствуют о существенном сокращении доли присутствия таких организаций на исследуемом рынке</w:t>
      </w:r>
      <w:r w:rsidR="00D82167" w:rsidRPr="00ED3B8A">
        <w:rPr>
          <w:sz w:val="28"/>
          <w:szCs w:val="28"/>
        </w:rPr>
        <w:t xml:space="preserve"> в период с 2015 по </w:t>
      </w:r>
      <w:r w:rsidR="003071C4" w:rsidRPr="00ED3B8A">
        <w:rPr>
          <w:sz w:val="28"/>
          <w:szCs w:val="28"/>
        </w:rPr>
        <w:t>2016 гг.</w:t>
      </w:r>
    </w:p>
    <w:p w14:paraId="432350C2" w14:textId="77777777" w:rsidR="00414433" w:rsidRPr="00ED3B8A" w:rsidRDefault="00AC6B64" w:rsidP="00FC570E">
      <w:pPr>
        <w:tabs>
          <w:tab w:val="num" w:pos="0"/>
        </w:tabs>
        <w:spacing w:line="20" w:lineRule="atLeast"/>
        <w:ind w:firstLine="709"/>
        <w:jc w:val="both"/>
        <w:rPr>
          <w:sz w:val="28"/>
          <w:szCs w:val="28"/>
        </w:rPr>
      </w:pPr>
      <w:r w:rsidRPr="00ED3B8A">
        <w:rPr>
          <w:sz w:val="28"/>
          <w:szCs w:val="28"/>
        </w:rPr>
        <w:t xml:space="preserve">Кроме того, в </w:t>
      </w:r>
      <w:r w:rsidR="00D82167" w:rsidRPr="00ED3B8A">
        <w:rPr>
          <w:sz w:val="28"/>
          <w:szCs w:val="28"/>
        </w:rPr>
        <w:t>исследуемый период времени</w:t>
      </w:r>
      <w:r w:rsidRPr="00ED3B8A">
        <w:rPr>
          <w:sz w:val="28"/>
          <w:szCs w:val="28"/>
        </w:rPr>
        <w:t xml:space="preserve"> по сравнению с 2012-2013 гг. увеличилось число хозяйствующих субъектов, действующих на указанном рынке</w:t>
      </w:r>
      <w:r w:rsidR="00414433" w:rsidRPr="00ED3B8A">
        <w:rPr>
          <w:sz w:val="28"/>
          <w:szCs w:val="28"/>
        </w:rPr>
        <w:t>.</w:t>
      </w:r>
    </w:p>
    <w:p w14:paraId="2EAAA397" w14:textId="3F246DA5" w:rsidR="00AC6B64" w:rsidRPr="00ED3B8A" w:rsidRDefault="00414433" w:rsidP="00FC570E">
      <w:pPr>
        <w:tabs>
          <w:tab w:val="num" w:pos="0"/>
        </w:tabs>
        <w:spacing w:line="20" w:lineRule="atLeast"/>
        <w:ind w:firstLine="709"/>
        <w:jc w:val="both"/>
        <w:rPr>
          <w:sz w:val="28"/>
          <w:szCs w:val="28"/>
        </w:rPr>
      </w:pPr>
      <w:r w:rsidRPr="00ED3B8A">
        <w:rPr>
          <w:sz w:val="28"/>
          <w:szCs w:val="28"/>
        </w:rPr>
        <w:t>Так, в 2016 году</w:t>
      </w:r>
      <w:r w:rsidR="00AC6B64" w:rsidRPr="00ED3B8A">
        <w:rPr>
          <w:sz w:val="28"/>
          <w:szCs w:val="28"/>
        </w:rPr>
        <w:t xml:space="preserve"> 6</w:t>
      </w:r>
      <w:r w:rsidRPr="00ED3B8A">
        <w:rPr>
          <w:sz w:val="28"/>
          <w:szCs w:val="28"/>
        </w:rPr>
        <w:t>9</w:t>
      </w:r>
      <w:r w:rsidR="00AC6B64" w:rsidRPr="00ED3B8A">
        <w:rPr>
          <w:sz w:val="28"/>
          <w:szCs w:val="28"/>
        </w:rPr>
        <w:t>,</w:t>
      </w:r>
      <w:r w:rsidRPr="00ED3B8A">
        <w:rPr>
          <w:sz w:val="28"/>
          <w:szCs w:val="28"/>
        </w:rPr>
        <w:t>74</w:t>
      </w:r>
      <w:r w:rsidR="00AC6B64" w:rsidRPr="00ED3B8A">
        <w:rPr>
          <w:sz w:val="28"/>
          <w:szCs w:val="28"/>
        </w:rPr>
        <w:t xml:space="preserve"> % рынка услуг, оказываемых владельцами СВХ, занимают хозяйствующие субъе</w:t>
      </w:r>
      <w:r w:rsidRPr="00ED3B8A">
        <w:rPr>
          <w:sz w:val="28"/>
          <w:szCs w:val="28"/>
        </w:rPr>
        <w:t>кты с долей, не превышающей 2 %</w:t>
      </w:r>
      <w:r w:rsidR="00AC6B64" w:rsidRPr="00ED3B8A">
        <w:rPr>
          <w:sz w:val="28"/>
          <w:szCs w:val="28"/>
        </w:rPr>
        <w:t>.</w:t>
      </w:r>
    </w:p>
    <w:p w14:paraId="5D547A3F" w14:textId="2EEDFCD2" w:rsidR="00AC6B64" w:rsidRPr="00ED3B8A" w:rsidRDefault="003071C4" w:rsidP="00AC6B64">
      <w:pPr>
        <w:tabs>
          <w:tab w:val="num" w:pos="0"/>
        </w:tabs>
        <w:spacing w:line="20" w:lineRule="atLeast"/>
        <w:ind w:firstLine="709"/>
        <w:jc w:val="both"/>
        <w:rPr>
          <w:sz w:val="28"/>
          <w:szCs w:val="28"/>
        </w:rPr>
      </w:pPr>
      <w:r w:rsidRPr="00ED3B8A">
        <w:rPr>
          <w:sz w:val="28"/>
          <w:szCs w:val="28"/>
        </w:rPr>
        <w:t>Учитывая изложенное,</w:t>
      </w:r>
      <w:r w:rsidR="00DD7945" w:rsidRPr="00ED3B8A">
        <w:rPr>
          <w:sz w:val="28"/>
          <w:szCs w:val="28"/>
        </w:rPr>
        <w:t xml:space="preserve"> </w:t>
      </w:r>
      <w:r w:rsidR="00AC6B64" w:rsidRPr="00ED3B8A">
        <w:rPr>
          <w:sz w:val="28"/>
          <w:szCs w:val="28"/>
        </w:rPr>
        <w:t xml:space="preserve">в связи с введением указанной нормы в законодательство, регулирующее таможенную деятельность, для хозяйствующих субъектов созданы равные условия хозяйственной деятельности, что </w:t>
      </w:r>
      <w:r w:rsidR="00D82167" w:rsidRPr="00ED3B8A">
        <w:rPr>
          <w:sz w:val="28"/>
          <w:szCs w:val="28"/>
        </w:rPr>
        <w:t>в свою очередь, способствует</w:t>
      </w:r>
      <w:r w:rsidR="00AC6B64" w:rsidRPr="00ED3B8A">
        <w:rPr>
          <w:sz w:val="28"/>
          <w:szCs w:val="28"/>
        </w:rPr>
        <w:t xml:space="preserve"> более эффективному функционированию</w:t>
      </w:r>
      <w:r w:rsidR="00D82167" w:rsidRPr="00ED3B8A">
        <w:rPr>
          <w:sz w:val="28"/>
          <w:szCs w:val="28"/>
        </w:rPr>
        <w:t xml:space="preserve"> указанного рынка</w:t>
      </w:r>
      <w:r w:rsidR="00AC6B64" w:rsidRPr="00ED3B8A">
        <w:rPr>
          <w:sz w:val="28"/>
          <w:szCs w:val="28"/>
        </w:rPr>
        <w:t>.</w:t>
      </w:r>
    </w:p>
    <w:p w14:paraId="20880586" w14:textId="77777777" w:rsidR="006F7F99" w:rsidRPr="00ED3B8A" w:rsidRDefault="006F7F99" w:rsidP="00D82167">
      <w:pPr>
        <w:tabs>
          <w:tab w:val="num" w:pos="0"/>
        </w:tabs>
        <w:jc w:val="both"/>
        <w:rPr>
          <w:sz w:val="28"/>
          <w:szCs w:val="28"/>
        </w:rPr>
      </w:pPr>
    </w:p>
    <w:p w14:paraId="3E6540D1" w14:textId="1FB08125" w:rsidR="005B372C" w:rsidRDefault="005B372C" w:rsidP="00FC570E">
      <w:pPr>
        <w:tabs>
          <w:tab w:val="num" w:pos="0"/>
        </w:tabs>
        <w:ind w:firstLine="709"/>
        <w:jc w:val="both"/>
        <w:rPr>
          <w:color w:val="000000" w:themeColor="text1"/>
          <w:sz w:val="28"/>
          <w:szCs w:val="28"/>
        </w:rPr>
      </w:pPr>
      <w:r w:rsidRPr="00ED3B8A">
        <w:rPr>
          <w:color w:val="000000" w:themeColor="text1"/>
          <w:sz w:val="28"/>
          <w:szCs w:val="28"/>
        </w:rPr>
        <w:t>При расчете объемов рынка было изучено соотношение объемов оказанных услуг владельцами СВХ с расположенными таможенными постами и без таможенных постов.</w:t>
      </w:r>
      <w:r w:rsidR="00DF5968" w:rsidRPr="00ED3B8A">
        <w:rPr>
          <w:color w:val="000000" w:themeColor="text1"/>
          <w:sz w:val="28"/>
          <w:szCs w:val="28"/>
        </w:rPr>
        <w:t xml:space="preserve"> Результаты показали, что большая часть услуг (75 %)</w:t>
      </w:r>
      <w:r w:rsidR="00DF5968">
        <w:rPr>
          <w:color w:val="000000" w:themeColor="text1"/>
          <w:sz w:val="28"/>
          <w:szCs w:val="28"/>
        </w:rPr>
        <w:t xml:space="preserve"> оказывается складами временного хранения с расположенными таможенными постами на них.</w:t>
      </w:r>
    </w:p>
    <w:p w14:paraId="5BC2F705" w14:textId="57F9252B" w:rsidR="004A4F4C" w:rsidRDefault="004A4F4C" w:rsidP="00FC570E">
      <w:pPr>
        <w:tabs>
          <w:tab w:val="num" w:pos="0"/>
        </w:tabs>
        <w:ind w:firstLine="709"/>
        <w:jc w:val="both"/>
        <w:rPr>
          <w:color w:val="000000" w:themeColor="text1"/>
          <w:sz w:val="28"/>
          <w:szCs w:val="28"/>
        </w:rPr>
      </w:pPr>
      <w:r>
        <w:rPr>
          <w:color w:val="000000" w:themeColor="text1"/>
          <w:sz w:val="28"/>
          <w:szCs w:val="28"/>
        </w:rPr>
        <w:t>В 2015 году на 168 складах временного хранения из 294 были расположены таможенные посты.</w:t>
      </w:r>
    </w:p>
    <w:p w14:paraId="7E91396B" w14:textId="0DB22172" w:rsidR="004A4F4C" w:rsidRDefault="004A4F4C" w:rsidP="00FC570E">
      <w:pPr>
        <w:tabs>
          <w:tab w:val="num" w:pos="0"/>
        </w:tabs>
        <w:ind w:firstLine="709"/>
        <w:jc w:val="both"/>
        <w:rPr>
          <w:color w:val="000000" w:themeColor="text1"/>
          <w:sz w:val="28"/>
          <w:szCs w:val="28"/>
        </w:rPr>
      </w:pPr>
      <w:r>
        <w:rPr>
          <w:color w:val="000000" w:themeColor="text1"/>
          <w:sz w:val="28"/>
          <w:szCs w:val="28"/>
        </w:rPr>
        <w:t>В 2016</w:t>
      </w:r>
      <w:r w:rsidRPr="004A4F4C">
        <w:rPr>
          <w:color w:val="000000" w:themeColor="text1"/>
          <w:sz w:val="28"/>
          <w:szCs w:val="28"/>
        </w:rPr>
        <w:t xml:space="preserve"> году на 173 складах временного хранения из 304 были расположены таможенные посты.</w:t>
      </w:r>
    </w:p>
    <w:p w14:paraId="411F785E" w14:textId="071FF2EC" w:rsidR="005B372C" w:rsidRDefault="000D792B" w:rsidP="00FC570E">
      <w:pPr>
        <w:tabs>
          <w:tab w:val="num" w:pos="0"/>
        </w:tabs>
        <w:ind w:firstLine="709"/>
        <w:jc w:val="both"/>
        <w:rPr>
          <w:noProof/>
        </w:rPr>
      </w:pPr>
      <w:r>
        <w:rPr>
          <w:sz w:val="28"/>
          <w:szCs w:val="28"/>
        </w:rPr>
        <w:t>Таким образом Управление приходит к выводу о том, что СВХ, на которых размещены таможенные органы</w:t>
      </w:r>
      <w:r w:rsidRPr="00D450E3">
        <w:rPr>
          <w:color w:val="000000" w:themeColor="text1"/>
          <w:sz w:val="28"/>
          <w:szCs w:val="28"/>
        </w:rPr>
        <w:t>,</w:t>
      </w:r>
      <w:r>
        <w:rPr>
          <w:sz w:val="28"/>
          <w:szCs w:val="28"/>
        </w:rPr>
        <w:t xml:space="preserve"> имеют</w:t>
      </w:r>
      <w:r w:rsidRPr="00157BFE">
        <w:rPr>
          <w:sz w:val="28"/>
          <w:szCs w:val="28"/>
        </w:rPr>
        <w:t xml:space="preserve"> конкурентные преимущества</w:t>
      </w:r>
      <w:r>
        <w:rPr>
          <w:sz w:val="28"/>
          <w:szCs w:val="28"/>
        </w:rPr>
        <w:t xml:space="preserve"> перед СВХ без них.</w:t>
      </w:r>
    </w:p>
    <w:p w14:paraId="00A9A081" w14:textId="77777777" w:rsidR="005B372C" w:rsidRDefault="005B372C" w:rsidP="00FC570E">
      <w:pPr>
        <w:tabs>
          <w:tab w:val="num" w:pos="0"/>
        </w:tabs>
        <w:ind w:firstLine="709"/>
        <w:rPr>
          <w:noProof/>
        </w:rPr>
      </w:pPr>
    </w:p>
    <w:p w14:paraId="2BED482F" w14:textId="77777777" w:rsidR="00DF5968" w:rsidRDefault="00DF5968" w:rsidP="00A92D87">
      <w:pPr>
        <w:rPr>
          <w:noProof/>
        </w:rPr>
        <w:sectPr w:rsidR="00DF5968" w:rsidSect="00FC570E">
          <w:pgSz w:w="11906" w:h="16838" w:code="9"/>
          <w:pgMar w:top="567" w:right="707" w:bottom="567" w:left="1276" w:header="432" w:footer="113" w:gutter="0"/>
          <w:cols w:space="708"/>
          <w:docGrid w:linePitch="360"/>
        </w:sectPr>
      </w:pPr>
    </w:p>
    <w:p w14:paraId="2A0A1373" w14:textId="77777777" w:rsidR="005B372C" w:rsidRDefault="005B372C" w:rsidP="00A92D87">
      <w:pPr>
        <w:rPr>
          <w:noProof/>
        </w:rPr>
      </w:pPr>
    </w:p>
    <w:p w14:paraId="13A4B3DF" w14:textId="39DC1726" w:rsidR="001E3B2C" w:rsidRDefault="00351DF1" w:rsidP="00A92D87">
      <w:pPr>
        <w:rPr>
          <w:noProof/>
        </w:rPr>
      </w:pPr>
      <w:r w:rsidRPr="00351DF1">
        <w:rPr>
          <w:noProof/>
        </w:rPr>
        <mc:AlternateContent>
          <mc:Choice Requires="wps">
            <w:drawing>
              <wp:anchor distT="0" distB="0" distL="114300" distR="114300" simplePos="0" relativeHeight="251675136" behindDoc="0" locked="0" layoutInCell="1" allowOverlap="1" wp14:anchorId="4C226BA7" wp14:editId="15BABFD0">
                <wp:simplePos x="0" y="0"/>
                <wp:positionH relativeFrom="column">
                  <wp:posOffset>259080</wp:posOffset>
                </wp:positionH>
                <wp:positionV relativeFrom="paragraph">
                  <wp:posOffset>-306705</wp:posOffset>
                </wp:positionV>
                <wp:extent cx="9572625" cy="768985"/>
                <wp:effectExtent l="0" t="0" r="0" b="0"/>
                <wp:wrapNone/>
                <wp:docPr id="26" name="TextBox 5"/>
                <wp:cNvGraphicFramePr/>
                <a:graphic xmlns:a="http://schemas.openxmlformats.org/drawingml/2006/main">
                  <a:graphicData uri="http://schemas.microsoft.com/office/word/2010/wordprocessingShape">
                    <wps:wsp>
                      <wps:cNvSpPr txBox="1"/>
                      <wps:spPr>
                        <a:xfrm>
                          <a:off x="0" y="0"/>
                          <a:ext cx="9572625" cy="768985"/>
                        </a:xfrm>
                        <a:prstGeom prst="rect">
                          <a:avLst/>
                        </a:prstGeom>
                        <a:noFill/>
                      </wps:spPr>
                      <wps:txbx>
                        <w:txbxContent>
                          <w:p w14:paraId="283C7F26" w14:textId="33E68CDA" w:rsidR="00A106EE" w:rsidRPr="00351DF1" w:rsidRDefault="00A106EE" w:rsidP="00351DF1">
                            <w:pPr>
                              <w:pStyle w:val="af0"/>
                              <w:spacing w:before="0" w:beforeAutospacing="0" w:after="0"/>
                              <w:jc w:val="center"/>
                              <w:rPr>
                                <w:rFonts w:asciiTheme="minorHAnsi" w:hAnsi="Calibri" w:cstheme="minorBidi"/>
                                <w:b/>
                                <w:bCs/>
                                <w:color w:val="00828A"/>
                                <w:kern w:val="24"/>
                                <w:sz w:val="44"/>
                                <w:szCs w:val="44"/>
                              </w:rPr>
                            </w:pPr>
                            <w:r>
                              <w:rPr>
                                <w:rFonts w:asciiTheme="minorHAnsi" w:hAnsi="Calibri" w:cstheme="minorBidi"/>
                                <w:b/>
                                <w:bCs/>
                                <w:color w:val="00828A"/>
                                <w:kern w:val="24"/>
                                <w:sz w:val="44"/>
                                <w:szCs w:val="44"/>
                              </w:rPr>
                              <w:t>Соотношение объемов оказанных услуг владельцами СВХ с таможенными постами и без 2015-2016 гг.</w:t>
                            </w:r>
                          </w:p>
                        </w:txbxContent>
                      </wps:txbx>
                      <wps:bodyPr wrap="square" rtlCol="0">
                        <a:spAutoFit/>
                      </wps:bodyPr>
                    </wps:wsp>
                  </a:graphicData>
                </a:graphic>
                <wp14:sizeRelH relativeFrom="margin">
                  <wp14:pctWidth>0</wp14:pctWidth>
                </wp14:sizeRelH>
              </wp:anchor>
            </w:drawing>
          </mc:Choice>
          <mc:Fallback>
            <w:pict>
              <v:shape w14:anchorId="4C226BA7" id="_x0000_s1030" type="#_x0000_t202" style="position:absolute;margin-left:20.4pt;margin-top:-24.15pt;width:753.75pt;height:60.5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" filled="f" stroked="f">
                <v:textbox style="mso-fit-shape-to-text:t">
                  <w:txbxContent>
                    <w:p w14:paraId="283C7F26" w14:textId="33E68CDA" w:rsidR="00A106EE" w:rsidRPr="00351DF1" w:rsidRDefault="00A106EE" w:rsidP="00351DF1">
                      <w:pPr>
                        <w:pStyle w:val="af0"/>
                        <w:spacing w:before="0" w:beforeAutospacing="0" w:after="0"/>
                        <w:jc w:val="center"/>
                        <w:rPr>
                          <w:rFonts w:asciiTheme="minorHAnsi" w:hAnsi="Calibri" w:cstheme="minorBidi"/>
                          <w:b/>
                          <w:bCs/>
                          <w:color w:val="00828A"/>
                          <w:kern w:val="24"/>
                          <w:sz w:val="44"/>
                          <w:szCs w:val="44"/>
                        </w:rPr>
                      </w:pPr>
                      <w:r>
                        <w:rPr>
                          <w:rFonts w:asciiTheme="minorHAnsi" w:hAnsi="Calibri" w:cstheme="minorBidi"/>
                          <w:b/>
                          <w:bCs/>
                          <w:color w:val="00828A"/>
                          <w:kern w:val="24"/>
                          <w:sz w:val="44"/>
                          <w:szCs w:val="44"/>
                        </w:rPr>
                        <w:t>Соотношение объемов оказанных услуг владельцами СВХ с таможенными постами и без 2015-2016 гг.</w:t>
                      </w:r>
                    </w:p>
                  </w:txbxContent>
                </v:textbox>
              </v:shape>
            </w:pict>
          </mc:Fallback>
        </mc:AlternateContent>
      </w:r>
    </w:p>
    <w:p w14:paraId="385D5E70" w14:textId="77777777" w:rsidR="00351DF1" w:rsidRDefault="00351DF1" w:rsidP="009121D4">
      <w:pPr>
        <w:rPr>
          <w:b/>
          <w:sz w:val="28"/>
          <w:szCs w:val="28"/>
        </w:rPr>
      </w:pPr>
    </w:p>
    <w:p w14:paraId="0F2F9C0A" w14:textId="5CAE8E11" w:rsidR="00A92D87" w:rsidRDefault="00351DF1" w:rsidP="009121D4">
      <w:pPr>
        <w:rPr>
          <w:b/>
          <w:sz w:val="28"/>
          <w:szCs w:val="28"/>
        </w:rPr>
        <w:sectPr w:rsidR="00A92D87" w:rsidSect="00DF5968">
          <w:pgSz w:w="16838" w:h="11906" w:orient="landscape" w:code="9"/>
          <w:pgMar w:top="567" w:right="567" w:bottom="567" w:left="567" w:header="432" w:footer="113" w:gutter="0"/>
          <w:cols w:space="708"/>
          <w:docGrid w:linePitch="360"/>
        </w:sectPr>
      </w:pPr>
      <w:r w:rsidRPr="00351DF1">
        <w:rPr>
          <w:b/>
          <w:noProof/>
          <w:sz w:val="28"/>
          <w:szCs w:val="28"/>
        </w:rPr>
        <w:drawing>
          <wp:inline distT="0" distB="0" distL="0" distR="0" wp14:anchorId="2F8D171A" wp14:editId="52BC1869">
            <wp:extent cx="4953000" cy="5954486"/>
            <wp:effectExtent l="0" t="0" r="0"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351DF1">
        <w:rPr>
          <w:b/>
          <w:noProof/>
          <w:sz w:val="28"/>
          <w:szCs w:val="28"/>
        </w:rPr>
        <w:drawing>
          <wp:inline distT="0" distB="0" distL="0" distR="0" wp14:anchorId="5C4CE3E4" wp14:editId="64D510CE">
            <wp:extent cx="4953000" cy="5954486"/>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6D7923" w14:textId="0B2D171A" w:rsidR="00E327CE" w:rsidRPr="00787AF7" w:rsidRDefault="00E327CE" w:rsidP="00787AF7">
      <w:pPr>
        <w:ind w:firstLine="709"/>
        <w:jc w:val="both"/>
        <w:rPr>
          <w:color w:val="000000" w:themeColor="text1"/>
          <w:sz w:val="28"/>
          <w:szCs w:val="28"/>
        </w:rPr>
      </w:pPr>
      <w:r w:rsidRPr="00C57525">
        <w:rPr>
          <w:color w:val="000000" w:themeColor="text1"/>
          <w:sz w:val="28"/>
          <w:szCs w:val="28"/>
        </w:rPr>
        <w:t xml:space="preserve">В соответствии с Приказом ФАС России от 28.04.2010 № 220 </w:t>
      </w:r>
      <w:r w:rsidR="00656838">
        <w:rPr>
          <w:color w:val="000000" w:themeColor="text1"/>
          <w:sz w:val="28"/>
          <w:szCs w:val="28"/>
        </w:rPr>
        <w:t>«Об </w:t>
      </w:r>
      <w:r w:rsidRPr="00C57525">
        <w:rPr>
          <w:color w:val="000000" w:themeColor="text1"/>
          <w:sz w:val="28"/>
          <w:szCs w:val="28"/>
        </w:rPr>
        <w:t>утверждении порядка проведения анализа состояния конкуренции на товарном рынке», был</w:t>
      </w:r>
      <w:r w:rsidR="00C5374C">
        <w:rPr>
          <w:color w:val="000000" w:themeColor="text1"/>
          <w:sz w:val="28"/>
          <w:szCs w:val="28"/>
        </w:rPr>
        <w:t>и</w:t>
      </w:r>
      <w:r w:rsidRPr="00C57525">
        <w:rPr>
          <w:color w:val="000000" w:themeColor="text1"/>
          <w:sz w:val="28"/>
          <w:szCs w:val="28"/>
        </w:rPr>
        <w:t xml:space="preserve"> рассчитан</w:t>
      </w:r>
      <w:r w:rsidR="00C5374C">
        <w:rPr>
          <w:color w:val="000000" w:themeColor="text1"/>
          <w:sz w:val="28"/>
          <w:szCs w:val="28"/>
        </w:rPr>
        <w:t>ы</w:t>
      </w:r>
      <w:r w:rsidRPr="00C57525">
        <w:rPr>
          <w:color w:val="000000" w:themeColor="text1"/>
          <w:sz w:val="28"/>
          <w:szCs w:val="28"/>
        </w:rPr>
        <w:t xml:space="preserve"> индекс</w:t>
      </w:r>
      <w:r w:rsidR="00C5374C">
        <w:rPr>
          <w:color w:val="000000" w:themeColor="text1"/>
          <w:sz w:val="28"/>
          <w:szCs w:val="28"/>
        </w:rPr>
        <w:t>ы</w:t>
      </w:r>
      <w:r w:rsidRPr="00C57525">
        <w:rPr>
          <w:color w:val="000000" w:themeColor="text1"/>
          <w:sz w:val="28"/>
          <w:szCs w:val="28"/>
        </w:rPr>
        <w:t xml:space="preserve"> рыночной концентрации Герфиндаля-Гиршмана (HHI)</w:t>
      </w:r>
      <w:r w:rsidR="00DF5968">
        <w:rPr>
          <w:color w:val="000000" w:themeColor="text1"/>
          <w:sz w:val="28"/>
          <w:szCs w:val="28"/>
        </w:rPr>
        <w:t xml:space="preserve"> за 2015 и 2016 годы</w:t>
      </w:r>
      <w:r w:rsidR="00787AF7">
        <w:rPr>
          <w:color w:val="000000" w:themeColor="text1"/>
          <w:sz w:val="28"/>
          <w:szCs w:val="28"/>
        </w:rPr>
        <w:t xml:space="preserve"> для рынка</w:t>
      </w:r>
      <w:r w:rsidR="00787AF7" w:rsidRPr="00787AF7">
        <w:rPr>
          <w:color w:val="000000" w:themeColor="text1"/>
          <w:sz w:val="28"/>
          <w:szCs w:val="28"/>
        </w:rPr>
        <w:t xml:space="preserve"> услуг, оказываемых владельцами СВХ</w:t>
      </w:r>
      <w:r w:rsidRPr="00C57525">
        <w:rPr>
          <w:color w:val="000000" w:themeColor="text1"/>
          <w:sz w:val="28"/>
          <w:szCs w:val="28"/>
        </w:rPr>
        <w:t>.</w:t>
      </w:r>
    </w:p>
    <w:p w14:paraId="4FCCF6C6" w14:textId="4D21055B" w:rsidR="00E327CE" w:rsidRPr="00C57525" w:rsidRDefault="00E327CE" w:rsidP="002C034D">
      <w:pPr>
        <w:ind w:firstLine="709"/>
        <w:jc w:val="both"/>
        <w:rPr>
          <w:color w:val="000000" w:themeColor="text1"/>
          <w:sz w:val="28"/>
          <w:szCs w:val="28"/>
        </w:rPr>
      </w:pPr>
      <w:r w:rsidRPr="00C57525">
        <w:rPr>
          <w:color w:val="000000" w:themeColor="text1"/>
          <w:sz w:val="28"/>
          <w:szCs w:val="28"/>
        </w:rPr>
        <w:t>В 201</w:t>
      </w:r>
      <w:r w:rsidR="008C4E24">
        <w:rPr>
          <w:color w:val="000000" w:themeColor="text1"/>
          <w:sz w:val="28"/>
          <w:szCs w:val="28"/>
        </w:rPr>
        <w:t>5</w:t>
      </w:r>
      <w:r w:rsidRPr="00C57525">
        <w:rPr>
          <w:color w:val="000000" w:themeColor="text1"/>
          <w:sz w:val="28"/>
          <w:szCs w:val="28"/>
        </w:rPr>
        <w:t xml:space="preserve"> году индекс </w:t>
      </w:r>
      <w:r w:rsidR="00656838" w:rsidRPr="00656838">
        <w:rPr>
          <w:color w:val="000000" w:themeColor="text1"/>
          <w:sz w:val="28"/>
          <w:szCs w:val="28"/>
        </w:rPr>
        <w:t xml:space="preserve">HHI </w:t>
      </w:r>
      <w:r w:rsidRPr="00C57525">
        <w:rPr>
          <w:color w:val="000000" w:themeColor="text1"/>
          <w:sz w:val="28"/>
          <w:szCs w:val="28"/>
        </w:rPr>
        <w:t xml:space="preserve">равен </w:t>
      </w:r>
      <w:r w:rsidR="008C4E24">
        <w:rPr>
          <w:color w:val="000000" w:themeColor="text1"/>
          <w:sz w:val="28"/>
          <w:szCs w:val="28"/>
        </w:rPr>
        <w:t>266</w:t>
      </w:r>
      <w:r w:rsidRPr="00C57525">
        <w:rPr>
          <w:color w:val="000000" w:themeColor="text1"/>
          <w:sz w:val="28"/>
          <w:szCs w:val="28"/>
        </w:rPr>
        <w:t>, что соответствует низкому уровню концентрации (HHI &lt; 1000), т.е. пониженной степени монополизации рынка.</w:t>
      </w:r>
    </w:p>
    <w:p w14:paraId="0523F994" w14:textId="0F4F85A6" w:rsidR="00BB0E94" w:rsidRDefault="002253B3" w:rsidP="00BB0E94">
      <w:pPr>
        <w:ind w:firstLine="709"/>
        <w:jc w:val="both"/>
        <w:rPr>
          <w:color w:val="000000" w:themeColor="text1"/>
          <w:sz w:val="28"/>
          <w:szCs w:val="28"/>
        </w:rPr>
      </w:pPr>
      <w:r>
        <w:rPr>
          <w:color w:val="000000" w:themeColor="text1"/>
          <w:sz w:val="28"/>
          <w:szCs w:val="28"/>
        </w:rPr>
        <w:t>В 2016</w:t>
      </w:r>
      <w:r w:rsidR="002C034D" w:rsidRPr="00C57525">
        <w:rPr>
          <w:color w:val="000000" w:themeColor="text1"/>
          <w:sz w:val="28"/>
          <w:szCs w:val="28"/>
        </w:rPr>
        <w:t xml:space="preserve"> году индекс</w:t>
      </w:r>
      <w:r w:rsidR="00656838" w:rsidRPr="00656838">
        <w:rPr>
          <w:color w:val="000000" w:themeColor="text1"/>
          <w:sz w:val="28"/>
          <w:szCs w:val="28"/>
        </w:rPr>
        <w:t xml:space="preserve"> HHI</w:t>
      </w:r>
      <w:r w:rsidR="002C034D" w:rsidRPr="00C57525">
        <w:rPr>
          <w:color w:val="000000" w:themeColor="text1"/>
          <w:sz w:val="28"/>
          <w:szCs w:val="28"/>
        </w:rPr>
        <w:t xml:space="preserve"> равен 25</w:t>
      </w:r>
      <w:r>
        <w:rPr>
          <w:color w:val="000000" w:themeColor="text1"/>
          <w:sz w:val="28"/>
          <w:szCs w:val="28"/>
        </w:rPr>
        <w:t>4</w:t>
      </w:r>
      <w:r w:rsidR="00E327CE" w:rsidRPr="00C57525">
        <w:rPr>
          <w:color w:val="000000" w:themeColor="text1"/>
          <w:sz w:val="28"/>
          <w:szCs w:val="28"/>
        </w:rPr>
        <w:t xml:space="preserve">, </w:t>
      </w:r>
      <w:r w:rsidR="002C034D" w:rsidRPr="00C57525">
        <w:rPr>
          <w:color w:val="000000" w:themeColor="text1"/>
          <w:sz w:val="28"/>
          <w:szCs w:val="28"/>
        </w:rPr>
        <w:t>что</w:t>
      </w:r>
      <w:r w:rsidR="00DF5968">
        <w:rPr>
          <w:color w:val="000000" w:themeColor="text1"/>
          <w:sz w:val="28"/>
          <w:szCs w:val="28"/>
        </w:rPr>
        <w:t xml:space="preserve"> также</w:t>
      </w:r>
      <w:r w:rsidR="002C034D" w:rsidRPr="00C57525">
        <w:rPr>
          <w:color w:val="000000" w:themeColor="text1"/>
          <w:sz w:val="28"/>
          <w:szCs w:val="28"/>
        </w:rPr>
        <w:t xml:space="preserve"> свидетельствует о достаточно низкой степени монополизации рынка</w:t>
      </w:r>
      <w:r w:rsidR="00DF5968">
        <w:rPr>
          <w:color w:val="000000" w:themeColor="text1"/>
          <w:sz w:val="28"/>
          <w:szCs w:val="28"/>
        </w:rPr>
        <w:t xml:space="preserve"> и</w:t>
      </w:r>
      <w:r w:rsidR="002C034D" w:rsidRPr="00C57525">
        <w:rPr>
          <w:color w:val="000000" w:themeColor="text1"/>
          <w:sz w:val="28"/>
          <w:szCs w:val="28"/>
        </w:rPr>
        <w:t xml:space="preserve"> о развит</w:t>
      </w:r>
      <w:r w:rsidR="00BB0E94">
        <w:rPr>
          <w:color w:val="000000" w:themeColor="text1"/>
          <w:sz w:val="28"/>
          <w:szCs w:val="28"/>
        </w:rPr>
        <w:t>ом состоянии конкурентной среды.</w:t>
      </w:r>
    </w:p>
    <w:p w14:paraId="22575B4A" w14:textId="03A28B72" w:rsidR="0053020A" w:rsidRDefault="00C5374C" w:rsidP="0053020A">
      <w:pPr>
        <w:tabs>
          <w:tab w:val="num" w:pos="0"/>
        </w:tabs>
        <w:autoSpaceDE w:val="0"/>
        <w:autoSpaceDN w:val="0"/>
        <w:adjustRightInd w:val="0"/>
        <w:ind w:firstLine="709"/>
        <w:jc w:val="both"/>
        <w:outlineLvl w:val="0"/>
        <w:rPr>
          <w:sz w:val="28"/>
          <w:szCs w:val="28"/>
        </w:rPr>
      </w:pPr>
      <w:r>
        <w:rPr>
          <w:sz w:val="28"/>
          <w:szCs w:val="28"/>
        </w:rPr>
        <w:t>Также был</w:t>
      </w:r>
      <w:r w:rsidR="00787AF7">
        <w:rPr>
          <w:sz w:val="28"/>
          <w:szCs w:val="28"/>
        </w:rPr>
        <w:t>и</w:t>
      </w:r>
      <w:r>
        <w:rPr>
          <w:sz w:val="28"/>
          <w:szCs w:val="28"/>
        </w:rPr>
        <w:t xml:space="preserve"> рассчитаны коэффициенты</w:t>
      </w:r>
      <w:r w:rsidR="00787AF7">
        <w:rPr>
          <w:sz w:val="28"/>
          <w:szCs w:val="28"/>
        </w:rPr>
        <w:t xml:space="preserve"> рыночной</w:t>
      </w:r>
      <w:r>
        <w:rPr>
          <w:sz w:val="28"/>
          <w:szCs w:val="28"/>
        </w:rPr>
        <w:t xml:space="preserve"> концентрации </w:t>
      </w:r>
      <w:r w:rsidR="00787AF7">
        <w:rPr>
          <w:sz w:val="28"/>
          <w:szCs w:val="28"/>
        </w:rPr>
        <w:t>(</w:t>
      </w:r>
      <w:r w:rsidR="00787AF7">
        <w:rPr>
          <w:sz w:val="28"/>
          <w:szCs w:val="28"/>
          <w:lang w:val="en-US"/>
        </w:rPr>
        <w:t>CR</w:t>
      </w:r>
      <w:r w:rsidR="00787AF7">
        <w:rPr>
          <w:sz w:val="28"/>
          <w:szCs w:val="28"/>
        </w:rPr>
        <w:t>3,</w:t>
      </w:r>
      <w:r w:rsidR="00787AF7" w:rsidRPr="00787AF7">
        <w:rPr>
          <w:sz w:val="28"/>
          <w:szCs w:val="28"/>
        </w:rPr>
        <w:t xml:space="preserve"> </w:t>
      </w:r>
      <w:r w:rsidR="00787AF7">
        <w:rPr>
          <w:sz w:val="28"/>
          <w:szCs w:val="28"/>
          <w:lang w:val="en-US"/>
        </w:rPr>
        <w:t>CR</w:t>
      </w:r>
      <w:r w:rsidR="00787AF7" w:rsidRPr="00787AF7">
        <w:rPr>
          <w:sz w:val="28"/>
          <w:szCs w:val="28"/>
        </w:rPr>
        <w:t>5)</w:t>
      </w:r>
      <w:r w:rsidR="00787AF7">
        <w:rPr>
          <w:sz w:val="28"/>
          <w:szCs w:val="28"/>
        </w:rPr>
        <w:t xml:space="preserve"> </w:t>
      </w:r>
      <w:r w:rsidR="00787AF7" w:rsidRPr="00787AF7">
        <w:rPr>
          <w:sz w:val="28"/>
          <w:szCs w:val="28"/>
        </w:rPr>
        <w:t>для рынка услуг, оказываемых владельцами СВХ</w:t>
      </w:r>
      <w:r w:rsidR="00787AF7">
        <w:rPr>
          <w:sz w:val="28"/>
          <w:szCs w:val="28"/>
        </w:rPr>
        <w:t>:</w:t>
      </w:r>
    </w:p>
    <w:tbl>
      <w:tblPr>
        <w:tblW w:w="7686" w:type="dxa"/>
        <w:tblInd w:w="1134" w:type="dxa"/>
        <w:tblCellMar>
          <w:left w:w="0" w:type="dxa"/>
          <w:right w:w="0" w:type="dxa"/>
        </w:tblCellMar>
        <w:tblLook w:val="0600" w:firstRow="0" w:lastRow="0" w:firstColumn="0" w:lastColumn="0" w:noHBand="1" w:noVBand="1"/>
      </w:tblPr>
      <w:tblGrid>
        <w:gridCol w:w="4962"/>
        <w:gridCol w:w="2724"/>
      </w:tblGrid>
      <w:tr w:rsidR="0053020A" w:rsidRPr="00591DB2" w14:paraId="55131500" w14:textId="77777777" w:rsidTr="008C7DFF">
        <w:trPr>
          <w:trHeight w:val="691"/>
        </w:trPr>
        <w:tc>
          <w:tcPr>
            <w:tcW w:w="7686"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0C55DD2F" w14:textId="1FBEF812" w:rsidR="0053020A" w:rsidRPr="00656838" w:rsidRDefault="0053020A" w:rsidP="009D5EE9">
            <w:pPr>
              <w:jc w:val="center"/>
              <w:textAlignment w:val="center"/>
              <w:rPr>
                <w:rFonts w:ascii="Arial" w:hAnsi="Arial" w:cs="Arial"/>
                <w:sz w:val="36"/>
                <w:szCs w:val="36"/>
                <w:u w:val="single"/>
              </w:rPr>
            </w:pPr>
            <w:r w:rsidRPr="00656838">
              <w:rPr>
                <w:rFonts w:ascii="Calibri" w:hAnsi="Calibri" w:cs="Arial"/>
                <w:b/>
                <w:bCs/>
                <w:i/>
                <w:iCs/>
                <w:color w:val="008080"/>
                <w:kern w:val="24"/>
                <w:sz w:val="28"/>
                <w:szCs w:val="28"/>
                <w:u w:val="single"/>
              </w:rPr>
              <w:t xml:space="preserve">Концентрация рынка </w:t>
            </w:r>
            <w:r w:rsidR="00A44B4A" w:rsidRPr="00656838">
              <w:rPr>
                <w:rFonts w:ascii="Calibri" w:hAnsi="Calibri" w:cs="Arial"/>
                <w:b/>
                <w:bCs/>
                <w:i/>
                <w:iCs/>
                <w:color w:val="008080"/>
                <w:kern w:val="24"/>
                <w:sz w:val="28"/>
                <w:szCs w:val="28"/>
                <w:u w:val="single"/>
              </w:rPr>
              <w:t>2015</w:t>
            </w:r>
          </w:p>
        </w:tc>
      </w:tr>
      <w:tr w:rsidR="00A44B4A" w:rsidRPr="00591DB2" w14:paraId="19F99A11" w14:textId="77777777" w:rsidTr="008C7DFF">
        <w:trPr>
          <w:trHeight w:val="410"/>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4C9EED37" w14:textId="150C68B8"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АО "Шереметьево-Карго"</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0C1928AC" w14:textId="2BF86430"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12,42%</w:t>
            </w:r>
          </w:p>
        </w:tc>
      </w:tr>
      <w:tr w:rsidR="00A44B4A" w:rsidRPr="00591DB2" w14:paraId="53D024E5" w14:textId="77777777" w:rsidTr="008C7DFF">
        <w:trPr>
          <w:trHeight w:val="388"/>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179833D4" w14:textId="7DDB68D1"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ГЛ АльфаТрансТерминал</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533AC1BE" w14:textId="2F99A7A1"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4,28%</w:t>
            </w:r>
          </w:p>
        </w:tc>
      </w:tr>
      <w:tr w:rsidR="00A44B4A" w:rsidRPr="00591DB2" w14:paraId="4992BBE4" w14:textId="77777777" w:rsidTr="008C7DFF">
        <w:trPr>
          <w:trHeight w:val="390"/>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73245608" w14:textId="689C1D20"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ООО "Автологистика"</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2F3FC4E1" w14:textId="669F59E1"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3,07%</w:t>
            </w:r>
          </w:p>
        </w:tc>
      </w:tr>
      <w:tr w:rsidR="00A44B4A" w:rsidRPr="00591DB2" w14:paraId="15962400" w14:textId="77777777" w:rsidTr="008C7DFF">
        <w:trPr>
          <w:trHeight w:val="412"/>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1D3EF6D1" w14:textId="68EC7FBA" w:rsidR="00A44B4A" w:rsidRPr="00591DB2" w:rsidRDefault="00A44B4A" w:rsidP="00BD67A7">
            <w:pPr>
              <w:ind w:left="1970"/>
              <w:jc w:val="center"/>
              <w:textAlignment w:val="bottom"/>
              <w:rPr>
                <w:rFonts w:ascii="Arial" w:hAnsi="Arial" w:cs="Arial"/>
                <w:sz w:val="36"/>
                <w:szCs w:val="36"/>
              </w:rPr>
            </w:pPr>
            <w:r w:rsidRPr="00591DB2">
              <w:rPr>
                <w:rFonts w:ascii="Calibri" w:hAnsi="Calibri" w:cs="Arial"/>
                <w:b/>
                <w:bCs/>
                <w:color w:val="008080"/>
                <w:kern w:val="24"/>
                <w:lang w:val="en-US"/>
              </w:rPr>
              <w:t>CR3 (</w:t>
            </w:r>
            <w:r>
              <w:rPr>
                <w:rFonts w:ascii="Calibri" w:hAnsi="Calibri" w:cs="Arial"/>
                <w:b/>
                <w:bCs/>
                <w:color w:val="008080"/>
                <w:kern w:val="24"/>
              </w:rPr>
              <w:t>доля топ-3</w:t>
            </w:r>
            <w:r w:rsidRPr="00591DB2">
              <w:rPr>
                <w:rFonts w:ascii="Calibri" w:hAnsi="Calibri" w:cs="Arial"/>
                <w:b/>
                <w:bCs/>
                <w:color w:val="008080"/>
                <w:kern w:val="24"/>
              </w:rPr>
              <w:t>)</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7B3BBE74" w14:textId="193EF523" w:rsidR="00A44B4A" w:rsidRPr="00591DB2" w:rsidRDefault="00A44B4A" w:rsidP="00BD67A7">
            <w:pPr>
              <w:ind w:left="1970"/>
              <w:jc w:val="center"/>
              <w:textAlignment w:val="bottom"/>
              <w:rPr>
                <w:rFonts w:ascii="Arial" w:hAnsi="Arial" w:cs="Arial"/>
                <w:sz w:val="36"/>
                <w:szCs w:val="36"/>
              </w:rPr>
            </w:pPr>
            <w:r>
              <w:rPr>
                <w:rFonts w:ascii="Calibri" w:hAnsi="Calibri" w:cs="Arial"/>
                <w:b/>
                <w:bCs/>
                <w:color w:val="008080"/>
                <w:kern w:val="24"/>
              </w:rPr>
              <w:t>19,76</w:t>
            </w:r>
            <w:r w:rsidRPr="00591DB2">
              <w:rPr>
                <w:rFonts w:ascii="Calibri" w:hAnsi="Calibri" w:cs="Arial"/>
                <w:b/>
                <w:bCs/>
                <w:color w:val="008080"/>
                <w:kern w:val="24"/>
              </w:rPr>
              <w:t>%</w:t>
            </w:r>
          </w:p>
        </w:tc>
      </w:tr>
      <w:tr w:rsidR="00A44B4A" w:rsidRPr="00591DB2" w14:paraId="473F3B55" w14:textId="77777777" w:rsidTr="008C7DFF">
        <w:trPr>
          <w:trHeight w:val="416"/>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3BEFD663" w14:textId="3B69E63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ГЛ РЖД</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0793C956" w14:textId="3E954306"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2,93%</w:t>
            </w:r>
          </w:p>
        </w:tc>
      </w:tr>
      <w:tr w:rsidR="00A44B4A" w:rsidRPr="00591DB2" w14:paraId="778BEBFD" w14:textId="77777777" w:rsidTr="008C7DFF">
        <w:trPr>
          <w:trHeight w:val="390"/>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5FD401E5" w14:textId="6A2CFD76"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ГЛ ДХЛ Интернешнл</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083D1DDB" w14:textId="647CABA5"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2,74%</w:t>
            </w:r>
          </w:p>
        </w:tc>
      </w:tr>
      <w:tr w:rsidR="00A44B4A" w:rsidRPr="00591DB2" w14:paraId="2F306C07" w14:textId="77777777" w:rsidTr="008C7DFF">
        <w:trPr>
          <w:trHeight w:val="388"/>
        </w:trPr>
        <w:tc>
          <w:tcPr>
            <w:tcW w:w="4962" w:type="dxa"/>
            <w:tcBorders>
              <w:top w:val="dotted" w:sz="4" w:space="0" w:color="000000"/>
              <w:left w:val="nil"/>
              <w:bottom w:val="nil"/>
              <w:right w:val="nil"/>
            </w:tcBorders>
            <w:shd w:val="clear" w:color="auto" w:fill="auto"/>
            <w:tcMar>
              <w:top w:w="15" w:type="dxa"/>
              <w:left w:w="15" w:type="dxa"/>
              <w:bottom w:w="0" w:type="dxa"/>
              <w:right w:w="15" w:type="dxa"/>
            </w:tcMar>
            <w:vAlign w:val="bottom"/>
            <w:hideMark/>
          </w:tcPr>
          <w:p w14:paraId="464ADE3D" w14:textId="53ECF3C9" w:rsidR="00A44B4A" w:rsidRPr="00591DB2" w:rsidRDefault="00A44B4A" w:rsidP="00BD67A7">
            <w:pPr>
              <w:ind w:left="1970"/>
              <w:jc w:val="center"/>
              <w:textAlignment w:val="bottom"/>
              <w:rPr>
                <w:rFonts w:ascii="Arial" w:hAnsi="Arial" w:cs="Arial"/>
                <w:sz w:val="36"/>
                <w:szCs w:val="36"/>
              </w:rPr>
            </w:pPr>
            <w:r w:rsidRPr="00591DB2">
              <w:rPr>
                <w:rFonts w:ascii="Calibri" w:hAnsi="Calibri" w:cs="Arial"/>
                <w:b/>
                <w:bCs/>
                <w:color w:val="008080"/>
                <w:kern w:val="24"/>
                <w:lang w:val="en-US"/>
              </w:rPr>
              <w:t>CR5 (</w:t>
            </w:r>
            <w:r w:rsidRPr="00591DB2">
              <w:rPr>
                <w:rFonts w:ascii="Calibri" w:hAnsi="Calibri" w:cs="Arial"/>
                <w:b/>
                <w:bCs/>
                <w:color w:val="008080"/>
                <w:kern w:val="24"/>
              </w:rPr>
              <w:t>доля топ-5)</w:t>
            </w:r>
          </w:p>
        </w:tc>
        <w:tc>
          <w:tcPr>
            <w:tcW w:w="2724" w:type="dxa"/>
            <w:tcBorders>
              <w:top w:val="dotted" w:sz="4" w:space="0" w:color="000000"/>
              <w:left w:val="nil"/>
              <w:bottom w:val="nil"/>
              <w:right w:val="nil"/>
            </w:tcBorders>
            <w:shd w:val="clear" w:color="auto" w:fill="auto"/>
            <w:tcMar>
              <w:top w:w="15" w:type="dxa"/>
              <w:left w:w="15" w:type="dxa"/>
              <w:bottom w:w="0" w:type="dxa"/>
              <w:right w:w="15" w:type="dxa"/>
            </w:tcMar>
            <w:vAlign w:val="bottom"/>
            <w:hideMark/>
          </w:tcPr>
          <w:p w14:paraId="6E53A4A0" w14:textId="35B72F3D" w:rsidR="00A44B4A" w:rsidRPr="00591DB2" w:rsidRDefault="00A44B4A" w:rsidP="00BD67A7">
            <w:pPr>
              <w:ind w:left="1970"/>
              <w:jc w:val="center"/>
              <w:textAlignment w:val="bottom"/>
              <w:rPr>
                <w:rFonts w:ascii="Arial" w:hAnsi="Arial" w:cs="Arial"/>
                <w:sz w:val="36"/>
                <w:szCs w:val="36"/>
              </w:rPr>
            </w:pPr>
            <w:r>
              <w:rPr>
                <w:rFonts w:ascii="Calibri" w:hAnsi="Calibri" w:cs="Arial"/>
                <w:b/>
                <w:bCs/>
                <w:color w:val="008080"/>
                <w:kern w:val="24"/>
              </w:rPr>
              <w:t>25,42</w:t>
            </w:r>
            <w:r w:rsidRPr="00591DB2">
              <w:rPr>
                <w:rFonts w:ascii="Calibri" w:hAnsi="Calibri" w:cs="Arial"/>
                <w:b/>
                <w:bCs/>
                <w:color w:val="008080"/>
                <w:kern w:val="24"/>
              </w:rPr>
              <w:t>%</w:t>
            </w:r>
          </w:p>
        </w:tc>
      </w:tr>
      <w:tr w:rsidR="00A44B4A" w:rsidRPr="00591DB2" w14:paraId="1A5BB059" w14:textId="77777777" w:rsidTr="008C7DFF">
        <w:trPr>
          <w:trHeight w:val="691"/>
        </w:trPr>
        <w:tc>
          <w:tcPr>
            <w:tcW w:w="7686" w:type="dxa"/>
            <w:gridSpan w:val="2"/>
            <w:tcBorders>
              <w:top w:val="nil"/>
              <w:left w:val="nil"/>
              <w:bottom w:val="nil"/>
              <w:right w:val="nil"/>
            </w:tcBorders>
            <w:shd w:val="clear" w:color="auto" w:fill="auto"/>
            <w:tcMar>
              <w:top w:w="15" w:type="dxa"/>
              <w:left w:w="15" w:type="dxa"/>
              <w:bottom w:w="0" w:type="dxa"/>
              <w:right w:w="15" w:type="dxa"/>
            </w:tcMar>
            <w:vAlign w:val="center"/>
            <w:hideMark/>
          </w:tcPr>
          <w:p w14:paraId="4766E06C" w14:textId="77777777" w:rsidR="009D5EE9" w:rsidRDefault="009D5EE9" w:rsidP="009D5EE9">
            <w:pPr>
              <w:ind w:left="-15"/>
              <w:jc w:val="center"/>
              <w:textAlignment w:val="center"/>
              <w:rPr>
                <w:rFonts w:ascii="Calibri" w:hAnsi="Calibri" w:cs="Arial"/>
                <w:b/>
                <w:bCs/>
                <w:i/>
                <w:iCs/>
                <w:color w:val="008080"/>
                <w:kern w:val="24"/>
                <w:sz w:val="28"/>
                <w:szCs w:val="28"/>
              </w:rPr>
            </w:pPr>
          </w:p>
          <w:p w14:paraId="3CA2FA89" w14:textId="77777777" w:rsidR="00787AF7" w:rsidRDefault="00787AF7" w:rsidP="009D5EE9">
            <w:pPr>
              <w:ind w:left="-15"/>
              <w:jc w:val="center"/>
              <w:textAlignment w:val="center"/>
              <w:rPr>
                <w:rFonts w:ascii="Calibri" w:hAnsi="Calibri" w:cs="Arial"/>
                <w:b/>
                <w:bCs/>
                <w:i/>
                <w:iCs/>
                <w:color w:val="008080"/>
                <w:kern w:val="24"/>
                <w:sz w:val="28"/>
                <w:szCs w:val="28"/>
              </w:rPr>
            </w:pPr>
          </w:p>
          <w:p w14:paraId="50BC6720" w14:textId="77777777" w:rsidR="00A44B4A" w:rsidRPr="00656838" w:rsidRDefault="00A44B4A" w:rsidP="009D5EE9">
            <w:pPr>
              <w:ind w:left="-15"/>
              <w:jc w:val="center"/>
              <w:textAlignment w:val="center"/>
              <w:rPr>
                <w:rFonts w:ascii="Calibri" w:hAnsi="Calibri" w:cs="Arial"/>
                <w:b/>
                <w:bCs/>
                <w:i/>
                <w:iCs/>
                <w:color w:val="008080"/>
                <w:kern w:val="24"/>
                <w:sz w:val="28"/>
                <w:szCs w:val="28"/>
                <w:u w:val="single"/>
              </w:rPr>
            </w:pPr>
            <w:r w:rsidRPr="00656838">
              <w:rPr>
                <w:rFonts w:ascii="Calibri" w:hAnsi="Calibri" w:cs="Arial"/>
                <w:b/>
                <w:bCs/>
                <w:i/>
                <w:iCs/>
                <w:color w:val="008080"/>
                <w:kern w:val="24"/>
                <w:sz w:val="28"/>
                <w:szCs w:val="28"/>
                <w:u w:val="single"/>
              </w:rPr>
              <w:t>Концентрация рынка 2016</w:t>
            </w:r>
          </w:p>
          <w:p w14:paraId="670DE01D" w14:textId="1C140FC3" w:rsidR="009D5EE9" w:rsidRPr="00591DB2" w:rsidRDefault="009D5EE9" w:rsidP="009D5EE9">
            <w:pPr>
              <w:ind w:left="-15"/>
              <w:jc w:val="center"/>
              <w:textAlignment w:val="center"/>
              <w:rPr>
                <w:rFonts w:ascii="Arial" w:hAnsi="Arial" w:cs="Arial"/>
                <w:sz w:val="36"/>
                <w:szCs w:val="36"/>
              </w:rPr>
            </w:pPr>
          </w:p>
        </w:tc>
      </w:tr>
      <w:tr w:rsidR="00A44B4A" w:rsidRPr="00591DB2" w14:paraId="01FE9168" w14:textId="77777777" w:rsidTr="008C7DFF">
        <w:trPr>
          <w:trHeight w:val="410"/>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544BF2AC"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АО "Шереметьево-Карго"</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00A98276"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11,54%</w:t>
            </w:r>
          </w:p>
        </w:tc>
      </w:tr>
      <w:tr w:rsidR="00A44B4A" w:rsidRPr="00591DB2" w14:paraId="670670DC" w14:textId="77777777" w:rsidTr="008C7DFF">
        <w:trPr>
          <w:trHeight w:val="388"/>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1E1D0087"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ГЛ АльфаТрансТерминал</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59A9ED6E"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5,43%</w:t>
            </w:r>
          </w:p>
        </w:tc>
      </w:tr>
      <w:tr w:rsidR="00A44B4A" w:rsidRPr="00591DB2" w14:paraId="20AA6034" w14:textId="77777777" w:rsidTr="008C7DFF">
        <w:trPr>
          <w:trHeight w:val="390"/>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7D248C9F"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ООО "Автологистика"</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7E33B4C2"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3,12%</w:t>
            </w:r>
          </w:p>
        </w:tc>
      </w:tr>
      <w:tr w:rsidR="00A44B4A" w:rsidRPr="00591DB2" w14:paraId="307BEA10" w14:textId="77777777" w:rsidTr="008C7DFF">
        <w:trPr>
          <w:trHeight w:val="412"/>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433969C1" w14:textId="77777777" w:rsidR="00A44B4A" w:rsidRPr="00591DB2" w:rsidRDefault="00A44B4A" w:rsidP="00BD67A7">
            <w:pPr>
              <w:ind w:left="1970"/>
              <w:jc w:val="center"/>
              <w:textAlignment w:val="bottom"/>
              <w:rPr>
                <w:rFonts w:ascii="Arial" w:hAnsi="Arial" w:cs="Arial"/>
                <w:sz w:val="36"/>
                <w:szCs w:val="36"/>
              </w:rPr>
            </w:pPr>
            <w:r w:rsidRPr="00591DB2">
              <w:rPr>
                <w:rFonts w:ascii="Calibri" w:hAnsi="Calibri" w:cs="Arial"/>
                <w:b/>
                <w:bCs/>
                <w:color w:val="008080"/>
                <w:kern w:val="24"/>
                <w:lang w:val="en-US"/>
              </w:rPr>
              <w:t>CR3 (</w:t>
            </w:r>
            <w:r>
              <w:rPr>
                <w:rFonts w:ascii="Calibri" w:hAnsi="Calibri" w:cs="Arial"/>
                <w:b/>
                <w:bCs/>
                <w:color w:val="008080"/>
                <w:kern w:val="24"/>
              </w:rPr>
              <w:t>доля топ-3</w:t>
            </w:r>
            <w:r w:rsidRPr="00591DB2">
              <w:rPr>
                <w:rFonts w:ascii="Calibri" w:hAnsi="Calibri" w:cs="Arial"/>
                <w:b/>
                <w:bCs/>
                <w:color w:val="008080"/>
                <w:kern w:val="24"/>
              </w:rPr>
              <w:t>)</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0C9AFA2B" w14:textId="77777777" w:rsidR="00A44B4A" w:rsidRPr="00591DB2" w:rsidRDefault="00A44B4A" w:rsidP="00BD67A7">
            <w:pPr>
              <w:ind w:left="1970"/>
              <w:jc w:val="center"/>
              <w:textAlignment w:val="bottom"/>
              <w:rPr>
                <w:rFonts w:ascii="Arial" w:hAnsi="Arial" w:cs="Arial"/>
                <w:sz w:val="36"/>
                <w:szCs w:val="36"/>
              </w:rPr>
            </w:pPr>
            <w:r>
              <w:rPr>
                <w:rFonts w:ascii="Calibri" w:hAnsi="Calibri" w:cs="Arial"/>
                <w:b/>
                <w:bCs/>
                <w:color w:val="008080"/>
                <w:kern w:val="24"/>
              </w:rPr>
              <w:t>20,09</w:t>
            </w:r>
            <w:r w:rsidRPr="00591DB2">
              <w:rPr>
                <w:rFonts w:ascii="Calibri" w:hAnsi="Calibri" w:cs="Arial"/>
                <w:b/>
                <w:bCs/>
                <w:color w:val="008080"/>
                <w:kern w:val="24"/>
              </w:rPr>
              <w:t>%</w:t>
            </w:r>
          </w:p>
        </w:tc>
      </w:tr>
      <w:tr w:rsidR="00A44B4A" w:rsidRPr="00591DB2" w14:paraId="396113CF" w14:textId="77777777" w:rsidTr="008C7DFF">
        <w:trPr>
          <w:trHeight w:val="416"/>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1CCF2242"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ГЛ РЖД</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51620B87"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3,02%</w:t>
            </w:r>
          </w:p>
        </w:tc>
      </w:tr>
      <w:tr w:rsidR="00A44B4A" w:rsidRPr="00591DB2" w14:paraId="4494DED0" w14:textId="77777777" w:rsidTr="008C7DFF">
        <w:trPr>
          <w:trHeight w:val="390"/>
        </w:trPr>
        <w:tc>
          <w:tcPr>
            <w:tcW w:w="4962"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5C41B6E7"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ООО "Терминал Селятино"</w:t>
            </w:r>
          </w:p>
        </w:tc>
        <w:tc>
          <w:tcPr>
            <w:tcW w:w="2724" w:type="dxa"/>
            <w:tcBorders>
              <w:top w:val="dotted" w:sz="4" w:space="0" w:color="000000"/>
              <w:left w:val="nil"/>
              <w:bottom w:val="dotted" w:sz="4" w:space="0" w:color="000000"/>
              <w:right w:val="nil"/>
            </w:tcBorders>
            <w:shd w:val="clear" w:color="auto" w:fill="auto"/>
            <w:tcMar>
              <w:top w:w="15" w:type="dxa"/>
              <w:left w:w="15" w:type="dxa"/>
              <w:bottom w:w="0" w:type="dxa"/>
              <w:right w:w="15" w:type="dxa"/>
            </w:tcMar>
            <w:vAlign w:val="bottom"/>
            <w:hideMark/>
          </w:tcPr>
          <w:p w14:paraId="6012996D" w14:textId="77777777" w:rsidR="00A44B4A" w:rsidRPr="00591DB2" w:rsidRDefault="00A44B4A" w:rsidP="00BD67A7">
            <w:pPr>
              <w:ind w:left="1970"/>
              <w:jc w:val="center"/>
              <w:textAlignment w:val="bottom"/>
              <w:rPr>
                <w:rFonts w:ascii="Arial" w:hAnsi="Arial" w:cs="Arial"/>
                <w:sz w:val="36"/>
                <w:szCs w:val="36"/>
              </w:rPr>
            </w:pPr>
            <w:r w:rsidRPr="00A44B4A">
              <w:rPr>
                <w:rFonts w:ascii="Calibri" w:hAnsi="Calibri" w:cs="Arial"/>
                <w:color w:val="000000"/>
                <w:kern w:val="24"/>
              </w:rPr>
              <w:t>2,44%</w:t>
            </w:r>
          </w:p>
        </w:tc>
      </w:tr>
      <w:tr w:rsidR="00A44B4A" w:rsidRPr="00591DB2" w14:paraId="17CAD92A" w14:textId="77777777" w:rsidTr="008C7DFF">
        <w:trPr>
          <w:trHeight w:val="388"/>
        </w:trPr>
        <w:tc>
          <w:tcPr>
            <w:tcW w:w="4962" w:type="dxa"/>
            <w:tcBorders>
              <w:top w:val="dotted" w:sz="4" w:space="0" w:color="000000"/>
              <w:left w:val="nil"/>
              <w:bottom w:val="nil"/>
              <w:right w:val="nil"/>
            </w:tcBorders>
            <w:shd w:val="clear" w:color="auto" w:fill="auto"/>
            <w:tcMar>
              <w:top w:w="15" w:type="dxa"/>
              <w:left w:w="15" w:type="dxa"/>
              <w:bottom w:w="0" w:type="dxa"/>
              <w:right w:w="15" w:type="dxa"/>
            </w:tcMar>
            <w:vAlign w:val="bottom"/>
            <w:hideMark/>
          </w:tcPr>
          <w:p w14:paraId="1E34A0D7" w14:textId="77777777" w:rsidR="00A44B4A" w:rsidRPr="00591DB2" w:rsidRDefault="00A44B4A" w:rsidP="00BD67A7">
            <w:pPr>
              <w:ind w:left="1970"/>
              <w:jc w:val="center"/>
              <w:textAlignment w:val="bottom"/>
              <w:rPr>
                <w:rFonts w:ascii="Arial" w:hAnsi="Arial" w:cs="Arial"/>
                <w:sz w:val="36"/>
                <w:szCs w:val="36"/>
              </w:rPr>
            </w:pPr>
            <w:r w:rsidRPr="00591DB2">
              <w:rPr>
                <w:rFonts w:ascii="Calibri" w:hAnsi="Calibri" w:cs="Arial"/>
                <w:b/>
                <w:bCs/>
                <w:color w:val="008080"/>
                <w:kern w:val="24"/>
                <w:lang w:val="en-US"/>
              </w:rPr>
              <w:t>CR5 (</w:t>
            </w:r>
            <w:r w:rsidRPr="00591DB2">
              <w:rPr>
                <w:rFonts w:ascii="Calibri" w:hAnsi="Calibri" w:cs="Arial"/>
                <w:b/>
                <w:bCs/>
                <w:color w:val="008080"/>
                <w:kern w:val="24"/>
              </w:rPr>
              <w:t>доля топ-5)</w:t>
            </w:r>
          </w:p>
        </w:tc>
        <w:tc>
          <w:tcPr>
            <w:tcW w:w="2724" w:type="dxa"/>
            <w:tcBorders>
              <w:top w:val="dotted" w:sz="4" w:space="0" w:color="000000"/>
              <w:left w:val="nil"/>
              <w:bottom w:val="nil"/>
              <w:right w:val="nil"/>
            </w:tcBorders>
            <w:shd w:val="clear" w:color="auto" w:fill="auto"/>
            <w:tcMar>
              <w:top w:w="15" w:type="dxa"/>
              <w:left w:w="15" w:type="dxa"/>
              <w:bottom w:w="0" w:type="dxa"/>
              <w:right w:w="15" w:type="dxa"/>
            </w:tcMar>
            <w:vAlign w:val="bottom"/>
            <w:hideMark/>
          </w:tcPr>
          <w:p w14:paraId="640B1253" w14:textId="77777777" w:rsidR="00A44B4A" w:rsidRPr="00591DB2" w:rsidRDefault="00A44B4A" w:rsidP="00BD67A7">
            <w:pPr>
              <w:ind w:left="1970"/>
              <w:jc w:val="center"/>
              <w:textAlignment w:val="bottom"/>
              <w:rPr>
                <w:rFonts w:ascii="Arial" w:hAnsi="Arial" w:cs="Arial"/>
                <w:sz w:val="36"/>
                <w:szCs w:val="36"/>
              </w:rPr>
            </w:pPr>
            <w:r>
              <w:rPr>
                <w:rFonts w:ascii="Calibri" w:hAnsi="Calibri" w:cs="Arial"/>
                <w:b/>
                <w:bCs/>
                <w:color w:val="008080"/>
                <w:kern w:val="24"/>
              </w:rPr>
              <w:t>25,55</w:t>
            </w:r>
            <w:r w:rsidRPr="00591DB2">
              <w:rPr>
                <w:rFonts w:ascii="Calibri" w:hAnsi="Calibri" w:cs="Arial"/>
                <w:b/>
                <w:bCs/>
                <w:color w:val="008080"/>
                <w:kern w:val="24"/>
              </w:rPr>
              <w:t>%</w:t>
            </w:r>
          </w:p>
        </w:tc>
      </w:tr>
    </w:tbl>
    <w:p w14:paraId="6FAD0E86" w14:textId="77777777" w:rsidR="0053020A" w:rsidRDefault="0053020A" w:rsidP="0053020A">
      <w:pPr>
        <w:ind w:firstLine="709"/>
        <w:jc w:val="both"/>
        <w:rPr>
          <w:color w:val="000000"/>
          <w:sz w:val="28"/>
          <w:szCs w:val="28"/>
        </w:rPr>
      </w:pPr>
    </w:p>
    <w:p w14:paraId="0DCC4831" w14:textId="77777777" w:rsidR="00787AF7" w:rsidRDefault="00787AF7" w:rsidP="0053020A">
      <w:pPr>
        <w:ind w:firstLine="709"/>
        <w:jc w:val="both"/>
        <w:rPr>
          <w:color w:val="000000"/>
          <w:sz w:val="28"/>
          <w:szCs w:val="28"/>
        </w:rPr>
      </w:pPr>
    </w:p>
    <w:p w14:paraId="70FA46FB" w14:textId="2FEF22C0" w:rsidR="00787AF7" w:rsidRDefault="00787AF7" w:rsidP="0053020A">
      <w:pPr>
        <w:ind w:firstLine="709"/>
        <w:jc w:val="both"/>
        <w:rPr>
          <w:color w:val="000000"/>
          <w:sz w:val="28"/>
          <w:szCs w:val="28"/>
        </w:rPr>
      </w:pPr>
      <w:r>
        <w:rPr>
          <w:color w:val="000000"/>
          <w:sz w:val="28"/>
          <w:szCs w:val="28"/>
        </w:rPr>
        <w:t>П</w:t>
      </w:r>
      <w:r w:rsidRPr="00787AF7">
        <w:rPr>
          <w:color w:val="000000"/>
          <w:sz w:val="28"/>
          <w:szCs w:val="28"/>
        </w:rPr>
        <w:t>о оценке ФАС России, рынок услуг, оказываемых вла</w:t>
      </w:r>
      <w:r w:rsidR="00DF5968">
        <w:rPr>
          <w:color w:val="000000"/>
          <w:sz w:val="28"/>
          <w:szCs w:val="28"/>
        </w:rPr>
        <w:t>дельцами СВХ, в </w:t>
      </w:r>
      <w:r w:rsidRPr="00787AF7">
        <w:rPr>
          <w:color w:val="000000"/>
          <w:sz w:val="28"/>
          <w:szCs w:val="28"/>
        </w:rPr>
        <w:t>2015-2016 годах являлся низкоконцентрированным (согласно п 7.2 Порядка), при этом в период 2015-2016 гг. уровень концентрации товарного рынка оставался стабильным</w:t>
      </w:r>
      <w:r>
        <w:rPr>
          <w:color w:val="000000"/>
          <w:sz w:val="28"/>
          <w:szCs w:val="28"/>
        </w:rPr>
        <w:t xml:space="preserve">. </w:t>
      </w:r>
      <w:r w:rsidR="00F745BC">
        <w:rPr>
          <w:color w:val="000000"/>
          <w:sz w:val="28"/>
          <w:szCs w:val="28"/>
        </w:rPr>
        <w:t>Таким образом р</w:t>
      </w:r>
      <w:r>
        <w:rPr>
          <w:color w:val="000000"/>
          <w:sz w:val="28"/>
          <w:szCs w:val="28"/>
        </w:rPr>
        <w:t>ынок</w:t>
      </w:r>
      <w:r w:rsidR="00F745BC" w:rsidRPr="00F745BC">
        <w:rPr>
          <w:color w:val="000000"/>
          <w:sz w:val="28"/>
          <w:szCs w:val="28"/>
        </w:rPr>
        <w:t xml:space="preserve"> услуг, оказываемых владельцами СВХ, в 2015-2016 годах являлся</w:t>
      </w:r>
      <w:r w:rsidR="00F745BC">
        <w:rPr>
          <w:color w:val="000000"/>
          <w:sz w:val="28"/>
          <w:szCs w:val="28"/>
        </w:rPr>
        <w:t xml:space="preserve"> конкурентным</w:t>
      </w:r>
      <w:r>
        <w:rPr>
          <w:color w:val="000000"/>
          <w:sz w:val="28"/>
          <w:szCs w:val="28"/>
        </w:rPr>
        <w:t>.</w:t>
      </w:r>
    </w:p>
    <w:p w14:paraId="3EBD0E81" w14:textId="77777777" w:rsidR="0053020A" w:rsidRDefault="0053020A" w:rsidP="00BB0E94">
      <w:pPr>
        <w:ind w:firstLine="709"/>
        <w:jc w:val="both"/>
        <w:rPr>
          <w:color w:val="000000" w:themeColor="text1"/>
          <w:sz w:val="28"/>
          <w:szCs w:val="28"/>
        </w:rPr>
      </w:pPr>
    </w:p>
    <w:p w14:paraId="502A489B" w14:textId="77777777" w:rsidR="00BB0E94" w:rsidRPr="00BB0E94" w:rsidRDefault="00A92D87" w:rsidP="00BB0E94">
      <w:pPr>
        <w:pStyle w:val="1"/>
        <w:jc w:val="center"/>
        <w:rPr>
          <w:sz w:val="28"/>
          <w:szCs w:val="28"/>
        </w:rPr>
      </w:pPr>
      <w:bookmarkStart w:id="9" w:name="_Toc388459825"/>
      <w:r w:rsidRPr="00A92D87">
        <w:rPr>
          <w:sz w:val="28"/>
          <w:szCs w:val="28"/>
          <w:lang w:val="en-US"/>
        </w:rPr>
        <w:t>VIII</w:t>
      </w:r>
      <w:r w:rsidR="00E327CE" w:rsidRPr="00A92D87">
        <w:rPr>
          <w:sz w:val="28"/>
          <w:szCs w:val="28"/>
        </w:rPr>
        <w:t>.</w:t>
      </w:r>
      <w:r w:rsidRPr="00A92D87">
        <w:rPr>
          <w:sz w:val="28"/>
          <w:szCs w:val="28"/>
        </w:rPr>
        <w:t xml:space="preserve"> </w:t>
      </w:r>
      <w:r w:rsidR="00E327CE" w:rsidRPr="00A92D87">
        <w:rPr>
          <w:sz w:val="28"/>
          <w:szCs w:val="28"/>
        </w:rPr>
        <w:t>Определение барьеров входа на рынок</w:t>
      </w:r>
      <w:bookmarkEnd w:id="9"/>
    </w:p>
    <w:p w14:paraId="013031BD" w14:textId="77777777" w:rsidR="00E327CE" w:rsidRDefault="00E327CE" w:rsidP="00826E29">
      <w:pPr>
        <w:ind w:firstLine="709"/>
        <w:jc w:val="both"/>
        <w:rPr>
          <w:color w:val="000000"/>
          <w:sz w:val="28"/>
          <w:szCs w:val="28"/>
        </w:rPr>
      </w:pPr>
      <w:r>
        <w:rPr>
          <w:color w:val="000000"/>
          <w:sz w:val="28"/>
          <w:szCs w:val="28"/>
        </w:rPr>
        <w:t>Основными барьерами входа новых хозяйствующих субъектов на рассматриваемый рынок являются:</w:t>
      </w:r>
    </w:p>
    <w:p w14:paraId="20051943" w14:textId="10B004D6" w:rsidR="009D1D5F" w:rsidRPr="00826E29" w:rsidRDefault="009D1D5F" w:rsidP="009D1D5F">
      <w:pPr>
        <w:pStyle w:val="af4"/>
        <w:ind w:left="1069"/>
        <w:jc w:val="both"/>
        <w:rPr>
          <w:b/>
          <w:i/>
          <w:color w:val="000000"/>
          <w:sz w:val="28"/>
          <w:szCs w:val="28"/>
        </w:rPr>
      </w:pPr>
      <w:r>
        <w:rPr>
          <w:b/>
          <w:i/>
          <w:color w:val="000000"/>
          <w:sz w:val="28"/>
          <w:szCs w:val="28"/>
        </w:rPr>
        <w:t>Административные барьеры.</w:t>
      </w:r>
    </w:p>
    <w:p w14:paraId="457AB5EB" w14:textId="77777777" w:rsidR="002815E7" w:rsidRPr="002815E7" w:rsidRDefault="00825D3D" w:rsidP="002815E7">
      <w:pPr>
        <w:tabs>
          <w:tab w:val="left" w:pos="1134"/>
        </w:tabs>
        <w:ind w:firstLine="709"/>
        <w:jc w:val="both"/>
        <w:rPr>
          <w:color w:val="000000"/>
          <w:sz w:val="28"/>
          <w:szCs w:val="28"/>
        </w:rPr>
      </w:pPr>
      <w:r w:rsidRPr="00825D3D">
        <w:rPr>
          <w:color w:val="000000"/>
          <w:sz w:val="28"/>
          <w:szCs w:val="28"/>
        </w:rPr>
        <w:t>1.</w:t>
      </w:r>
      <w:r>
        <w:rPr>
          <w:color w:val="000000"/>
          <w:sz w:val="28"/>
          <w:szCs w:val="28"/>
        </w:rPr>
        <w:t xml:space="preserve"> </w:t>
      </w:r>
      <w:r w:rsidR="002815E7" w:rsidRPr="002815E7">
        <w:rPr>
          <w:color w:val="000000"/>
          <w:sz w:val="28"/>
          <w:szCs w:val="28"/>
        </w:rPr>
        <w:t>Не обеспечен прозрачный, понятный, конкурентный отбор СВХ для целей расположения на их территории таможенного поста или отдела таможенного контроля и таможенного оформления, что приводит к созданию различных условий осуществления деятельности владельцев СВХ, создает почву для коррупции, ведет к необоснованным затратам участников внешнеэкономической деятельности.</w:t>
      </w:r>
    </w:p>
    <w:p w14:paraId="0FA1CB3F" w14:textId="77777777" w:rsidR="002815E7" w:rsidRPr="002815E7" w:rsidRDefault="002815E7" w:rsidP="002815E7">
      <w:pPr>
        <w:tabs>
          <w:tab w:val="left" w:pos="1134"/>
        </w:tabs>
        <w:ind w:firstLine="709"/>
        <w:jc w:val="both"/>
        <w:rPr>
          <w:color w:val="000000"/>
          <w:sz w:val="28"/>
          <w:szCs w:val="28"/>
        </w:rPr>
      </w:pPr>
      <w:r w:rsidRPr="002815E7">
        <w:rPr>
          <w:color w:val="000000"/>
          <w:sz w:val="28"/>
          <w:szCs w:val="28"/>
        </w:rPr>
        <w:t>Существует ряд предложений от хозяйствующих субъектов по применению конкурсных процедур по отбору СВХ, на которых будет расположен таможенный орган.</w:t>
      </w:r>
    </w:p>
    <w:p w14:paraId="4CFEDF51" w14:textId="77777777" w:rsidR="002815E7" w:rsidRPr="002815E7" w:rsidRDefault="002815E7" w:rsidP="002815E7">
      <w:pPr>
        <w:tabs>
          <w:tab w:val="left" w:pos="1134"/>
        </w:tabs>
        <w:ind w:firstLine="709"/>
        <w:jc w:val="both"/>
        <w:rPr>
          <w:color w:val="000000"/>
          <w:sz w:val="28"/>
          <w:szCs w:val="28"/>
        </w:rPr>
      </w:pPr>
      <w:r w:rsidRPr="002815E7">
        <w:rPr>
          <w:color w:val="000000"/>
          <w:sz w:val="28"/>
          <w:szCs w:val="28"/>
        </w:rPr>
        <w:t xml:space="preserve">Формальным требованиям соответствуют все получившие статус владельца СВХ, но ФТС России для размещения таможенного органа выбираются только определенные СВХ. Необходим прозрачный подход и публичность критериев при осуществлении процедуры выбора СВХ для размещения таможенного органа. </w:t>
      </w:r>
    </w:p>
    <w:p w14:paraId="68C9FF70" w14:textId="77777777" w:rsidR="002815E7" w:rsidRPr="002815E7" w:rsidRDefault="002815E7" w:rsidP="002815E7">
      <w:pPr>
        <w:tabs>
          <w:tab w:val="left" w:pos="1134"/>
        </w:tabs>
        <w:ind w:firstLine="709"/>
        <w:jc w:val="both"/>
        <w:rPr>
          <w:color w:val="000000"/>
          <w:sz w:val="28"/>
          <w:szCs w:val="28"/>
        </w:rPr>
      </w:pPr>
      <w:r w:rsidRPr="002815E7">
        <w:rPr>
          <w:color w:val="000000"/>
          <w:sz w:val="28"/>
          <w:szCs w:val="28"/>
        </w:rPr>
        <w:t xml:space="preserve">В рамках подготовки анализа рынка ФАС России установлено, что участникам внешнеэкономической деятельности, приобретателям услуг СВХ целесообразней и выгоднее пользоваться услугами тех СВХ, на территории которых размещены таможенные органы. В этой связи, условие размещения на территории СВХ таможенного органа является ключевым для выбора приобретателем услуг соответствующего СВХ. </w:t>
      </w:r>
    </w:p>
    <w:p w14:paraId="285963CD" w14:textId="77777777" w:rsidR="002815E7" w:rsidRPr="002815E7" w:rsidRDefault="002815E7" w:rsidP="002815E7">
      <w:pPr>
        <w:tabs>
          <w:tab w:val="left" w:pos="1134"/>
        </w:tabs>
        <w:ind w:firstLine="709"/>
        <w:jc w:val="both"/>
        <w:rPr>
          <w:color w:val="000000"/>
          <w:sz w:val="28"/>
          <w:szCs w:val="28"/>
        </w:rPr>
      </w:pPr>
      <w:r w:rsidRPr="002815E7">
        <w:rPr>
          <w:color w:val="000000"/>
          <w:sz w:val="28"/>
          <w:szCs w:val="28"/>
        </w:rPr>
        <w:t>Таким образом, СВХ на которых размещены таможенные органы, имеют конкурентные преимущества перед СВХ без них. При этом решение о размещении таможенного органа на территории СВХ (о предоставлении конкурентного преимущества) принимает таможенный органы самостоятельно.</w:t>
      </w:r>
    </w:p>
    <w:p w14:paraId="7618EAB2" w14:textId="77777777" w:rsidR="002815E7" w:rsidRDefault="002815E7" w:rsidP="002815E7">
      <w:pPr>
        <w:tabs>
          <w:tab w:val="left" w:pos="1134"/>
        </w:tabs>
        <w:ind w:firstLine="709"/>
        <w:jc w:val="both"/>
        <w:rPr>
          <w:color w:val="000000"/>
          <w:sz w:val="28"/>
          <w:szCs w:val="28"/>
        </w:rPr>
      </w:pPr>
      <w:r w:rsidRPr="002815E7">
        <w:rPr>
          <w:color w:val="000000"/>
          <w:sz w:val="28"/>
          <w:szCs w:val="28"/>
        </w:rPr>
        <w:t>В этой связи, ФАС России считает необходимым ФТС России разработать нормативно-правовой акт, устанавливающий перечень критериев, которыми будет руководствоваться ФТС России при определении СВХ, на территории которых планируется размещение таможенных органов.</w:t>
      </w:r>
    </w:p>
    <w:p w14:paraId="3A0AB70E" w14:textId="39B729C3" w:rsidR="009F02E4" w:rsidRDefault="009F02E4" w:rsidP="002815E7">
      <w:pPr>
        <w:tabs>
          <w:tab w:val="left" w:pos="1134"/>
        </w:tabs>
        <w:ind w:firstLine="709"/>
        <w:jc w:val="both"/>
        <w:rPr>
          <w:color w:val="000000"/>
          <w:sz w:val="28"/>
          <w:szCs w:val="28"/>
        </w:rPr>
      </w:pPr>
      <w:r>
        <w:rPr>
          <w:color w:val="000000"/>
          <w:sz w:val="28"/>
          <w:szCs w:val="28"/>
        </w:rPr>
        <w:t xml:space="preserve">2. Выборочное </w:t>
      </w:r>
      <w:r w:rsidR="005E41F3">
        <w:rPr>
          <w:color w:val="000000"/>
          <w:sz w:val="28"/>
          <w:szCs w:val="28"/>
        </w:rPr>
        <w:t xml:space="preserve">размещение на СВХ </w:t>
      </w:r>
      <w:r>
        <w:rPr>
          <w:color w:val="000000"/>
          <w:sz w:val="28"/>
          <w:szCs w:val="28"/>
        </w:rPr>
        <w:t>центров электронного декларирования (ЦЭД) с целью обеспечения права декларанта подать таможенную декларацию на товары в виде электронного документа («удаленный выпуск товаров»).</w:t>
      </w:r>
    </w:p>
    <w:p w14:paraId="4272A788" w14:textId="2E7D6565" w:rsidR="009F02E4" w:rsidRDefault="005E41F3" w:rsidP="002815E7">
      <w:pPr>
        <w:tabs>
          <w:tab w:val="left" w:pos="1134"/>
        </w:tabs>
        <w:ind w:firstLine="709"/>
        <w:jc w:val="both"/>
        <w:rPr>
          <w:color w:val="000000"/>
          <w:sz w:val="28"/>
          <w:szCs w:val="28"/>
        </w:rPr>
      </w:pPr>
      <w:r>
        <w:rPr>
          <w:color w:val="000000"/>
          <w:sz w:val="28"/>
          <w:szCs w:val="28"/>
        </w:rPr>
        <w:t>Практическая реализация механизмов ЦЭД в некоторых случаях может привести к ограничению конкуренции. Так, в настоящее время в каждом регионе Российской Федерации функционирует таможенный пост на котором размещена система ЦЭД (головной таможенный пост). К указанному головному таможенному посту отнесены иные таможенные посты в регионе, через которые участник ВЭД направляют электронную декларацию в ЦЭД, что приводит к неравномерному распределению декларационной нагрузки.</w:t>
      </w:r>
    </w:p>
    <w:p w14:paraId="4F05D9B2" w14:textId="380BF6B9" w:rsidR="005E41F3" w:rsidRDefault="005E41F3" w:rsidP="002815E7">
      <w:pPr>
        <w:tabs>
          <w:tab w:val="left" w:pos="1134"/>
        </w:tabs>
        <w:ind w:firstLine="709"/>
        <w:jc w:val="both"/>
        <w:rPr>
          <w:color w:val="000000"/>
          <w:sz w:val="28"/>
          <w:szCs w:val="28"/>
        </w:rPr>
      </w:pPr>
      <w:r>
        <w:rPr>
          <w:color w:val="000000"/>
          <w:sz w:val="28"/>
          <w:szCs w:val="28"/>
        </w:rPr>
        <w:t xml:space="preserve">Таким образом, независимо от места доставки и оформления товара, таможенные операции в любом случае проходят через ЦЭД. </w:t>
      </w:r>
    </w:p>
    <w:p w14:paraId="3E04E715" w14:textId="1549097F" w:rsidR="005E41F3" w:rsidRDefault="005E41F3" w:rsidP="002815E7">
      <w:pPr>
        <w:tabs>
          <w:tab w:val="left" w:pos="1134"/>
        </w:tabs>
        <w:ind w:firstLine="709"/>
        <w:jc w:val="both"/>
        <w:rPr>
          <w:color w:val="000000"/>
          <w:sz w:val="28"/>
          <w:szCs w:val="28"/>
        </w:rPr>
      </w:pPr>
      <w:r>
        <w:rPr>
          <w:color w:val="000000"/>
          <w:sz w:val="28"/>
          <w:szCs w:val="28"/>
        </w:rPr>
        <w:t>Учитывая то, что таможенный пост ЦЭД размещается на СВХ (выбранном без проведения конкурсных процедур), перераспределение декларационной нагрузки может привести к перераспределению товаропотоков от иных СВХ, что может негативно отразиться на рынке услуг, оказываемых владельцами СВХ.</w:t>
      </w:r>
    </w:p>
    <w:p w14:paraId="2DFE0A81" w14:textId="5112E2D8" w:rsidR="005E41F3" w:rsidRDefault="00E31B08" w:rsidP="002815E7">
      <w:pPr>
        <w:tabs>
          <w:tab w:val="left" w:pos="1134"/>
        </w:tabs>
        <w:ind w:firstLine="709"/>
        <w:jc w:val="both"/>
        <w:rPr>
          <w:color w:val="000000"/>
          <w:sz w:val="28"/>
          <w:szCs w:val="28"/>
        </w:rPr>
      </w:pPr>
      <w:r>
        <w:rPr>
          <w:color w:val="000000"/>
          <w:sz w:val="28"/>
          <w:szCs w:val="28"/>
        </w:rPr>
        <w:t>С целью недопущения ограничения, устранения конкуренции на исследуемом рынке, по мнению ФАС России, ЦЭД должны располагаться на территориях, не принадлежащих хозяйствующим субъектам, которые имеют отношение к рынку таможенных или околотаможенных услуг либо хозяйствующие субъекты должны быть отобраны на конкурсной основе.</w:t>
      </w:r>
    </w:p>
    <w:p w14:paraId="7EA6F295" w14:textId="2367C574" w:rsidR="009D1D5F" w:rsidRPr="00825D3D" w:rsidRDefault="009F02E4" w:rsidP="002815E7">
      <w:pPr>
        <w:tabs>
          <w:tab w:val="left" w:pos="1134"/>
        </w:tabs>
        <w:ind w:firstLine="709"/>
        <w:jc w:val="both"/>
        <w:rPr>
          <w:sz w:val="28"/>
          <w:szCs w:val="28"/>
        </w:rPr>
      </w:pPr>
      <w:r>
        <w:rPr>
          <w:color w:val="000000"/>
          <w:sz w:val="28"/>
          <w:szCs w:val="28"/>
        </w:rPr>
        <w:t>3</w:t>
      </w:r>
      <w:r w:rsidR="002815E7">
        <w:rPr>
          <w:color w:val="000000"/>
          <w:sz w:val="28"/>
          <w:szCs w:val="28"/>
        </w:rPr>
        <w:t xml:space="preserve">. </w:t>
      </w:r>
      <w:r w:rsidR="009D1D5F" w:rsidRPr="00825D3D">
        <w:rPr>
          <w:color w:val="000000"/>
          <w:sz w:val="28"/>
          <w:szCs w:val="28"/>
        </w:rPr>
        <w:t>О</w:t>
      </w:r>
      <w:r w:rsidR="009D1D5F" w:rsidRPr="00825D3D">
        <w:rPr>
          <w:sz w:val="28"/>
          <w:szCs w:val="28"/>
        </w:rPr>
        <w:t xml:space="preserve">дним из условий включения (одновременно и условием для исключения) </w:t>
      </w:r>
      <w:r w:rsidR="003F36ED">
        <w:rPr>
          <w:sz w:val="28"/>
          <w:szCs w:val="28"/>
        </w:rPr>
        <w:t>хозяйствующего субъекта</w:t>
      </w:r>
      <w:r w:rsidR="009D1D5F" w:rsidRPr="00825D3D">
        <w:rPr>
          <w:sz w:val="28"/>
          <w:szCs w:val="28"/>
        </w:rPr>
        <w:t xml:space="preserve"> в реестр владельцев складов временного хранения является отсутствие фактов привлечения компаний к ответственности по делам об административных правонарушениях в области таможенного дела в течение календарного года (с учетом сумм штрафов). Данное условие представляется чрезмерно жестким и </w:t>
      </w:r>
      <w:r w:rsidR="009D1D5F" w:rsidRPr="00825D3D">
        <w:rPr>
          <w:color w:val="000000" w:themeColor="text1"/>
          <w:sz w:val="28"/>
          <w:szCs w:val="28"/>
        </w:rPr>
        <w:t>не всегда адекватным характеру нарушения,</w:t>
      </w:r>
      <w:r w:rsidR="009D1D5F" w:rsidRPr="00825D3D">
        <w:rPr>
          <w:sz w:val="28"/>
          <w:szCs w:val="28"/>
        </w:rPr>
        <w:t xml:space="preserve"> так как возможны случаи, при которых компания допустила нарушен</w:t>
      </w:r>
      <w:r w:rsidR="009D1D5F" w:rsidRPr="00825D3D">
        <w:rPr>
          <w:color w:val="000000" w:themeColor="text1"/>
          <w:sz w:val="28"/>
          <w:szCs w:val="28"/>
        </w:rPr>
        <w:t>ие</w:t>
      </w:r>
      <w:r w:rsidR="009D1D5F" w:rsidRPr="00825D3D">
        <w:rPr>
          <w:sz w:val="28"/>
          <w:szCs w:val="28"/>
        </w:rPr>
        <w:t xml:space="preserve"> при таможенном оформлении из-за предоставления некорректно оформленных поставщиками документов. Такая компания, даже если </w:t>
      </w:r>
      <w:r w:rsidR="009D1D5F" w:rsidRPr="00825D3D">
        <w:rPr>
          <w:color w:val="000000" w:themeColor="text1"/>
          <w:sz w:val="28"/>
          <w:szCs w:val="28"/>
        </w:rPr>
        <w:t>она оплатит предусмотренные законом штрафы, не будет включена</w:t>
      </w:r>
      <w:r w:rsidR="009D1D5F" w:rsidRPr="00825D3D">
        <w:rPr>
          <w:sz w:val="28"/>
          <w:szCs w:val="28"/>
        </w:rPr>
        <w:t xml:space="preserve"> в реестр владельцев СВХ. </w:t>
      </w:r>
    </w:p>
    <w:p w14:paraId="323F177A" w14:textId="77777777" w:rsidR="009D1D5F" w:rsidRDefault="009D1D5F" w:rsidP="009D1D5F">
      <w:pPr>
        <w:ind w:firstLine="709"/>
        <w:jc w:val="both"/>
        <w:rPr>
          <w:sz w:val="28"/>
          <w:szCs w:val="28"/>
        </w:rPr>
      </w:pPr>
      <w:r>
        <w:rPr>
          <w:sz w:val="28"/>
          <w:szCs w:val="28"/>
        </w:rPr>
        <w:t>В настоящее время имеют место многочисленные случаи привлечения владельцев СВХ к административной ответственности по статье 16.15 КоАП связанные с представлением в таможенные органы документов отчета, содержащих недостоверные сведения. Состав данной статьи КоАП формальный и даже сам факт предоставления недостоверных сведений владелец склада временного хранения может быть привлечен к административной ответственности, включая случаи предоставления недостоверных сведений, допущенных вследствие технических ошибок, предоставления сведений о коде товара в соответствии с ТН ВЭД ЕАЭС, весе брутто, наименовании грузополучателя, которые не влияют на результаты таможенного контроля, а также суммы таможенных платежей, подлежащих уплате в процессе таможенного декларирования товаров.</w:t>
      </w:r>
    </w:p>
    <w:p w14:paraId="33CBFD58" w14:textId="0CF46F6B" w:rsidR="00825D3D" w:rsidRDefault="00825D3D" w:rsidP="002815E7">
      <w:pPr>
        <w:ind w:firstLine="709"/>
        <w:jc w:val="both"/>
        <w:rPr>
          <w:sz w:val="28"/>
          <w:szCs w:val="28"/>
        </w:rPr>
      </w:pPr>
    </w:p>
    <w:p w14:paraId="123590A2" w14:textId="63CE3A23" w:rsidR="00791B48" w:rsidRPr="00152102" w:rsidRDefault="00E327CE" w:rsidP="00152102">
      <w:pPr>
        <w:ind w:firstLine="709"/>
        <w:jc w:val="both"/>
        <w:rPr>
          <w:sz w:val="28"/>
          <w:szCs w:val="28"/>
        </w:rPr>
      </w:pPr>
      <w:r w:rsidRPr="00B26B43">
        <w:rPr>
          <w:b/>
          <w:i/>
          <w:sz w:val="28"/>
          <w:szCs w:val="28"/>
        </w:rPr>
        <w:t>Экономические барьеры</w:t>
      </w:r>
      <w:r w:rsidR="004F7372">
        <w:rPr>
          <w:b/>
          <w:sz w:val="28"/>
          <w:szCs w:val="28"/>
        </w:rPr>
        <w:t>.</w:t>
      </w:r>
    </w:p>
    <w:p w14:paraId="5E97FE9D" w14:textId="77777777" w:rsidR="00851508" w:rsidRDefault="00851508" w:rsidP="00851508">
      <w:pPr>
        <w:ind w:firstLine="709"/>
        <w:jc w:val="both"/>
        <w:rPr>
          <w:noProof/>
          <w:sz w:val="28"/>
          <w:szCs w:val="28"/>
        </w:rPr>
      </w:pPr>
      <w:r>
        <w:rPr>
          <w:noProof/>
          <w:sz w:val="28"/>
          <w:szCs w:val="28"/>
        </w:rPr>
        <w:t>Снижение рентабельности экономической деятельности выражается в значительных затратах на техническое оснащение и содержание склада временного хранения с учетом установленных нормативными документами требований, при существенном сужении спроса на услуги склада временного хранения, вызванного снижением импортных потоков, открытием крупными участниками ВЭД складов временного хранения закрытого типа, а также сокращением объема оказываемых услуг – снижение количества досмотровых мероприятий в связи с развитием системы СУР ФТС России, сокращение сроков временного хранения за счет сокращения сроков таможенного оформления.</w:t>
      </w:r>
    </w:p>
    <w:p w14:paraId="6362CB26" w14:textId="08CEA76D" w:rsidR="00BD0D1B" w:rsidRDefault="004D6E4E" w:rsidP="00BD0D1B">
      <w:pPr>
        <w:ind w:firstLine="709"/>
        <w:jc w:val="both"/>
        <w:rPr>
          <w:noProof/>
          <w:sz w:val="28"/>
          <w:szCs w:val="28"/>
        </w:rPr>
      </w:pPr>
      <w:r>
        <w:rPr>
          <w:noProof/>
          <w:sz w:val="28"/>
          <w:szCs w:val="28"/>
        </w:rPr>
        <w:t>О</w:t>
      </w:r>
      <w:r w:rsidR="00BD0D1B">
        <w:rPr>
          <w:noProof/>
          <w:sz w:val="28"/>
          <w:szCs w:val="28"/>
        </w:rPr>
        <w:t>тсутствие нормативно установленных типов технических средств, а также критериев принятия решений об их необходимости в части требований, установленных подпунктами 11-16 части 4 статьи 71 Закона о </w:t>
      </w:r>
      <w:r w:rsidR="00BD0D1B" w:rsidRPr="00472549">
        <w:rPr>
          <w:noProof/>
          <w:sz w:val="28"/>
          <w:szCs w:val="28"/>
        </w:rPr>
        <w:t>таможенном регулировании</w:t>
      </w:r>
      <w:r w:rsidR="00BD0D1B">
        <w:rPr>
          <w:noProof/>
          <w:sz w:val="28"/>
          <w:szCs w:val="28"/>
        </w:rPr>
        <w:t>, дают возможность таможенным органам произвольно установить такие требования.</w:t>
      </w:r>
    </w:p>
    <w:p w14:paraId="2C47F42A" w14:textId="4D4BD1E2" w:rsidR="00617D7B" w:rsidRDefault="00851508" w:rsidP="00617D7B">
      <w:pPr>
        <w:ind w:firstLine="709"/>
        <w:jc w:val="both"/>
        <w:rPr>
          <w:sz w:val="28"/>
          <w:szCs w:val="28"/>
        </w:rPr>
      </w:pPr>
      <w:r w:rsidRPr="00617D7B">
        <w:rPr>
          <w:sz w:val="28"/>
          <w:szCs w:val="28"/>
        </w:rPr>
        <w:t xml:space="preserve">Установление избыточных </w:t>
      </w:r>
      <w:r>
        <w:rPr>
          <w:sz w:val="28"/>
          <w:szCs w:val="28"/>
        </w:rPr>
        <w:t>требований</w:t>
      </w:r>
      <w:r w:rsidRPr="00617D7B">
        <w:rPr>
          <w:sz w:val="28"/>
          <w:szCs w:val="28"/>
        </w:rPr>
        <w:t xml:space="preserve"> по обеспечению СВХ дорогостоящим оборудованием</w:t>
      </w:r>
      <w:r w:rsidR="00BD0D1B">
        <w:rPr>
          <w:sz w:val="28"/>
          <w:szCs w:val="28"/>
        </w:rPr>
        <w:t>, в</w:t>
      </w:r>
      <w:r w:rsidR="00617D7B">
        <w:rPr>
          <w:sz w:val="28"/>
          <w:szCs w:val="28"/>
        </w:rPr>
        <w:t xml:space="preserve"> частности, СВХ должны быть оборудованы средствами радиоактивного контроля, которые также должны быть установлены на государственной границе. МИДК таможенные органы в основном используют на погранпереходах. На СВХ должны также иметь специально оборудованные площадки для временного размещения этих же МИДК. Работу самих МИДК на СВХ дублируют источники ионизированного излучения (</w:t>
      </w:r>
      <w:r w:rsidR="00617D7B">
        <w:rPr>
          <w:sz w:val="28"/>
          <w:szCs w:val="28"/>
          <w:lang w:val="en-US"/>
        </w:rPr>
        <w:t>fiskani</w:t>
      </w:r>
      <w:r w:rsidR="00617D7B">
        <w:rPr>
          <w:sz w:val="28"/>
          <w:szCs w:val="28"/>
        </w:rPr>
        <w:t>). Однако, если таможенное оформление товара осуществляется вне СВХ в зонах таможенного контроля таможенные органы обходятся без этого оборудования. В результате владельцы СВХ несут существенную дополнительную финансовую нагрузку, которая повышает стоимость услуги клиента.</w:t>
      </w:r>
    </w:p>
    <w:p w14:paraId="256F6C15" w14:textId="55E10384" w:rsidR="009932AF" w:rsidRDefault="009932AF" w:rsidP="00617D7B">
      <w:pPr>
        <w:ind w:firstLine="709"/>
        <w:jc w:val="both"/>
        <w:rPr>
          <w:sz w:val="28"/>
          <w:szCs w:val="28"/>
        </w:rPr>
      </w:pPr>
      <w:r>
        <w:rPr>
          <w:noProof/>
          <w:sz w:val="28"/>
          <w:szCs w:val="28"/>
        </w:rPr>
        <w:t>Как одно из предложений по стимулированию развития деятельности СВХ со стороны государства участники рынка предлагают исключить из требований к оснащению СВХ то оборудование, которое фактичски имеется на государственной границе и используется при проверке груза при ее пересечении.</w:t>
      </w:r>
    </w:p>
    <w:p w14:paraId="01EA1E11" w14:textId="30AA979F" w:rsidR="00851508" w:rsidRDefault="006C7AB6" w:rsidP="002815E7">
      <w:pPr>
        <w:ind w:firstLine="709"/>
        <w:jc w:val="both"/>
      </w:pPr>
      <w:r>
        <w:rPr>
          <w:noProof/>
          <w:sz w:val="28"/>
          <w:szCs w:val="28"/>
        </w:rPr>
        <w:t>Т</w:t>
      </w:r>
      <w:r w:rsidR="00152102" w:rsidRPr="00152102">
        <w:rPr>
          <w:noProof/>
          <w:sz w:val="28"/>
          <w:szCs w:val="28"/>
        </w:rPr>
        <w:t xml:space="preserve">ребования, предъявляемые к владельцу </w:t>
      </w:r>
      <w:r>
        <w:rPr>
          <w:noProof/>
          <w:sz w:val="28"/>
          <w:szCs w:val="28"/>
        </w:rPr>
        <w:t xml:space="preserve">склада </w:t>
      </w:r>
      <w:r w:rsidR="00152102" w:rsidRPr="00152102">
        <w:rPr>
          <w:noProof/>
          <w:sz w:val="28"/>
          <w:szCs w:val="28"/>
        </w:rPr>
        <w:t>временного хранения при получении свидетельства о включении в реестр складов временного хранения, связанные с обеспечением уплаты таможенных платежей</w:t>
      </w:r>
      <w:r>
        <w:rPr>
          <w:noProof/>
          <w:sz w:val="28"/>
          <w:szCs w:val="28"/>
        </w:rPr>
        <w:t>,</w:t>
      </w:r>
      <w:r w:rsidR="00C245A7">
        <w:rPr>
          <w:noProof/>
          <w:sz w:val="28"/>
          <w:szCs w:val="28"/>
        </w:rPr>
        <w:t xml:space="preserve"> по мнению участников рынка, являются</w:t>
      </w:r>
      <w:r>
        <w:rPr>
          <w:noProof/>
          <w:sz w:val="28"/>
          <w:szCs w:val="28"/>
        </w:rPr>
        <w:t xml:space="preserve"> </w:t>
      </w:r>
      <w:r w:rsidR="00C245A7">
        <w:rPr>
          <w:noProof/>
          <w:sz w:val="28"/>
          <w:szCs w:val="28"/>
        </w:rPr>
        <w:t>излишне высокими</w:t>
      </w:r>
      <w:r w:rsidR="00152102" w:rsidRPr="00152102">
        <w:rPr>
          <w:noProof/>
          <w:sz w:val="28"/>
          <w:szCs w:val="28"/>
        </w:rPr>
        <w:t>.</w:t>
      </w:r>
      <w:r w:rsidR="002815E7" w:rsidRPr="002815E7">
        <w:t xml:space="preserve"> </w:t>
      </w:r>
    </w:p>
    <w:p w14:paraId="39FAA8D5" w14:textId="676FEB13" w:rsidR="00C245A7" w:rsidRPr="002815E7" w:rsidRDefault="00C245A7" w:rsidP="002B0B80">
      <w:pPr>
        <w:ind w:firstLine="709"/>
        <w:jc w:val="both"/>
        <w:rPr>
          <w:noProof/>
          <w:sz w:val="28"/>
          <w:szCs w:val="28"/>
        </w:rPr>
      </w:pPr>
      <w:r>
        <w:rPr>
          <w:noProof/>
          <w:sz w:val="28"/>
          <w:szCs w:val="28"/>
        </w:rPr>
        <w:t>В</w:t>
      </w:r>
      <w:r w:rsidR="002815E7" w:rsidRPr="002815E7">
        <w:rPr>
          <w:noProof/>
          <w:sz w:val="28"/>
          <w:szCs w:val="28"/>
        </w:rPr>
        <w:t xml:space="preserve"> качестве мер государственной поддержки, необходимых для стимулирования развития деятельности владельцев СВХ открытого типа, </w:t>
      </w:r>
      <w:r>
        <w:rPr>
          <w:noProof/>
          <w:sz w:val="28"/>
          <w:szCs w:val="28"/>
        </w:rPr>
        <w:t xml:space="preserve">участники рынка </w:t>
      </w:r>
      <w:r w:rsidR="002815E7" w:rsidRPr="002815E7">
        <w:rPr>
          <w:noProof/>
          <w:sz w:val="28"/>
          <w:szCs w:val="28"/>
        </w:rPr>
        <w:t>предлагают осуществить снижение или дифференциацию размера обеспечения уплаты таможенных пошли</w:t>
      </w:r>
      <w:r w:rsidR="002815E7">
        <w:rPr>
          <w:noProof/>
          <w:sz w:val="28"/>
          <w:szCs w:val="28"/>
        </w:rPr>
        <w:t>н, налогов в зависимости от объе</w:t>
      </w:r>
      <w:r w:rsidR="002815E7" w:rsidRPr="002815E7">
        <w:rPr>
          <w:noProof/>
          <w:sz w:val="28"/>
          <w:szCs w:val="28"/>
        </w:rPr>
        <w:t xml:space="preserve">мов полезных площадей СВХ, поскольку размер обеспечения уплаты таможенных пошлин, установленных </w:t>
      </w:r>
      <w:r w:rsidR="002815E7">
        <w:rPr>
          <w:noProof/>
          <w:sz w:val="28"/>
          <w:szCs w:val="28"/>
        </w:rPr>
        <w:t>Законом</w:t>
      </w:r>
      <w:r w:rsidR="002815E7" w:rsidRPr="002815E7">
        <w:rPr>
          <w:noProof/>
          <w:sz w:val="28"/>
          <w:szCs w:val="28"/>
        </w:rPr>
        <w:t xml:space="preserve"> о таможенном регулировании, является для небольших компаний чрезмерно высоким. Выведение из оборота столь значительных финансовых средств не позволяет динамично развиваться и улучшать качество предоставления услуг.</w:t>
      </w:r>
    </w:p>
    <w:p w14:paraId="0AF53761" w14:textId="1A3D24B4" w:rsidR="000B0697" w:rsidRDefault="00617D7B" w:rsidP="009932AF">
      <w:pPr>
        <w:ind w:firstLine="709"/>
        <w:jc w:val="both"/>
        <w:rPr>
          <w:sz w:val="28"/>
          <w:szCs w:val="28"/>
        </w:rPr>
      </w:pPr>
      <w:r w:rsidRPr="00E81469">
        <w:rPr>
          <w:sz w:val="28"/>
          <w:szCs w:val="28"/>
        </w:rPr>
        <w:t>Э</w:t>
      </w:r>
      <w:r w:rsidR="000B0697" w:rsidRPr="00E81469">
        <w:rPr>
          <w:sz w:val="28"/>
          <w:szCs w:val="28"/>
        </w:rPr>
        <w:t>кономичес</w:t>
      </w:r>
      <w:r w:rsidRPr="00E81469">
        <w:rPr>
          <w:sz w:val="28"/>
          <w:szCs w:val="28"/>
        </w:rPr>
        <w:t>кая</w:t>
      </w:r>
      <w:r w:rsidR="000B0697" w:rsidRPr="00E81469">
        <w:rPr>
          <w:sz w:val="28"/>
          <w:szCs w:val="28"/>
        </w:rPr>
        <w:t xml:space="preserve"> нестабильность страны и двухстор</w:t>
      </w:r>
      <w:r w:rsidR="000B0697">
        <w:rPr>
          <w:sz w:val="28"/>
          <w:szCs w:val="28"/>
        </w:rPr>
        <w:t>оннее наложение санкций на ввоз товаров</w:t>
      </w:r>
      <w:r w:rsidR="00E81469">
        <w:rPr>
          <w:sz w:val="28"/>
          <w:szCs w:val="28"/>
        </w:rPr>
        <w:t xml:space="preserve"> привели к снижению</w:t>
      </w:r>
      <w:r w:rsidR="009B1765">
        <w:rPr>
          <w:sz w:val="28"/>
          <w:szCs w:val="28"/>
        </w:rPr>
        <w:t xml:space="preserve"> поток</w:t>
      </w:r>
      <w:r w:rsidR="00E81469">
        <w:rPr>
          <w:sz w:val="28"/>
          <w:szCs w:val="28"/>
        </w:rPr>
        <w:t>а</w:t>
      </w:r>
      <w:r w:rsidR="009B1765">
        <w:rPr>
          <w:sz w:val="28"/>
          <w:szCs w:val="28"/>
        </w:rPr>
        <w:t xml:space="preserve"> товара через границу Р</w:t>
      </w:r>
      <w:r w:rsidR="002815E7">
        <w:rPr>
          <w:sz w:val="28"/>
          <w:szCs w:val="28"/>
        </w:rPr>
        <w:t>оссийской </w:t>
      </w:r>
      <w:r w:rsidR="009B1765">
        <w:rPr>
          <w:sz w:val="28"/>
          <w:szCs w:val="28"/>
        </w:rPr>
        <w:t>Ф</w:t>
      </w:r>
      <w:r w:rsidR="002815E7">
        <w:rPr>
          <w:sz w:val="28"/>
          <w:szCs w:val="28"/>
        </w:rPr>
        <w:t>едерации</w:t>
      </w:r>
      <w:r w:rsidR="00E81469">
        <w:rPr>
          <w:sz w:val="28"/>
          <w:szCs w:val="28"/>
        </w:rPr>
        <w:t xml:space="preserve"> и, как следствие, к снижению</w:t>
      </w:r>
      <w:r w:rsidR="009B1765">
        <w:rPr>
          <w:sz w:val="28"/>
          <w:szCs w:val="28"/>
        </w:rPr>
        <w:t xml:space="preserve"> количества</w:t>
      </w:r>
      <w:r w:rsidR="00E81469">
        <w:rPr>
          <w:sz w:val="28"/>
          <w:szCs w:val="28"/>
        </w:rPr>
        <w:t xml:space="preserve"> клиентов СВХ, участников ВЭД, и </w:t>
      </w:r>
      <w:r w:rsidR="00A81B1A">
        <w:rPr>
          <w:sz w:val="28"/>
          <w:szCs w:val="28"/>
        </w:rPr>
        <w:t>сокращению</w:t>
      </w:r>
      <w:r w:rsidR="009B1765">
        <w:rPr>
          <w:sz w:val="28"/>
          <w:szCs w:val="28"/>
        </w:rPr>
        <w:t xml:space="preserve"> </w:t>
      </w:r>
      <w:r>
        <w:rPr>
          <w:sz w:val="28"/>
          <w:szCs w:val="28"/>
        </w:rPr>
        <w:t>объемов рынка</w:t>
      </w:r>
      <w:r w:rsidR="009B1765">
        <w:rPr>
          <w:sz w:val="28"/>
          <w:szCs w:val="28"/>
        </w:rPr>
        <w:t>.</w:t>
      </w:r>
    </w:p>
    <w:p w14:paraId="23F0260E" w14:textId="1A2FA335" w:rsidR="00BF75D9" w:rsidRDefault="000D277B" w:rsidP="009932AF">
      <w:pPr>
        <w:ind w:firstLine="709"/>
        <w:jc w:val="both"/>
        <w:rPr>
          <w:noProof/>
          <w:sz w:val="28"/>
          <w:szCs w:val="28"/>
        </w:rPr>
      </w:pPr>
      <w:r>
        <w:rPr>
          <w:noProof/>
          <w:sz w:val="28"/>
          <w:szCs w:val="28"/>
        </w:rPr>
        <w:t>Владедец склада временного хранения является гарантом сохранности товаров и транспортных средств до их выпуска в свободное обращение как перед таможенными органами (обеспечение уплаты таможенных платежей является одним из условий для включения в реестр владельцев СВХ), так и перед владельцами товара (страхование гражданской ответственности).</w:t>
      </w:r>
    </w:p>
    <w:p w14:paraId="5B4E0569" w14:textId="5A1BFBF3" w:rsidR="000D277B" w:rsidRDefault="000D277B" w:rsidP="009932AF">
      <w:pPr>
        <w:ind w:firstLine="709"/>
        <w:jc w:val="both"/>
        <w:rPr>
          <w:noProof/>
          <w:sz w:val="28"/>
          <w:szCs w:val="28"/>
        </w:rPr>
      </w:pPr>
      <w:r>
        <w:rPr>
          <w:noProof/>
          <w:sz w:val="28"/>
          <w:szCs w:val="28"/>
        </w:rPr>
        <w:t>Установленные жесткие требования для владельцев СВХ открытого типа гарантируют</w:t>
      </w:r>
      <w:r w:rsidR="004D6E4E">
        <w:rPr>
          <w:noProof/>
          <w:sz w:val="28"/>
          <w:szCs w:val="28"/>
        </w:rPr>
        <w:t>,</w:t>
      </w:r>
      <w:r>
        <w:rPr>
          <w:noProof/>
          <w:sz w:val="28"/>
          <w:szCs w:val="28"/>
        </w:rPr>
        <w:t xml:space="preserve"> помимо прочего</w:t>
      </w:r>
      <w:r w:rsidR="004D6E4E">
        <w:rPr>
          <w:noProof/>
          <w:sz w:val="28"/>
          <w:szCs w:val="28"/>
        </w:rPr>
        <w:t>,</w:t>
      </w:r>
      <w:r>
        <w:rPr>
          <w:noProof/>
          <w:sz w:val="28"/>
          <w:szCs w:val="28"/>
        </w:rPr>
        <w:t xml:space="preserve"> техническое обеспечение таможенных органов</w:t>
      </w:r>
      <w:r w:rsidR="009B5E52">
        <w:rPr>
          <w:noProof/>
          <w:sz w:val="28"/>
          <w:szCs w:val="28"/>
        </w:rPr>
        <w:t xml:space="preserve"> для проведения всех форм таможенного контроля, радиационный контроль, наличие права участников ВЭД в любое время суток поместить транспортное средство на территорию СВХ, обеспечить бесплатные въезд и стоянку для транспортных средств.</w:t>
      </w:r>
    </w:p>
    <w:p w14:paraId="22520206" w14:textId="1AF89144" w:rsidR="00CD10F3" w:rsidRDefault="0064330F" w:rsidP="009932AF">
      <w:pPr>
        <w:ind w:firstLine="709"/>
        <w:jc w:val="both"/>
        <w:rPr>
          <w:noProof/>
          <w:sz w:val="28"/>
          <w:szCs w:val="28"/>
        </w:rPr>
      </w:pPr>
      <w:r>
        <w:rPr>
          <w:noProof/>
          <w:sz w:val="28"/>
          <w:szCs w:val="28"/>
        </w:rPr>
        <w:t>К</w:t>
      </w:r>
      <w:r w:rsidR="00CD10F3">
        <w:rPr>
          <w:noProof/>
          <w:sz w:val="28"/>
          <w:szCs w:val="28"/>
        </w:rPr>
        <w:t xml:space="preserve"> мерам государственной поддержки, необходимым для стимулирования и развития деятельности в сфере таможенного дела должны относиться, прежде всего, меры по совершенствованию норм таможенного и административного законодательства России, в том числе меры по упрощению таможенных процедур, а также формирование единообразных подходов к разрешению спорных вопросов, возникающих при осуществлении соответсвующей деятельности. Также важным элементом эффективного и сбалансированного развития конкурентоспособного предпринимательства в сфере таможенного дела является равноправие участников соответствующего рынка</w:t>
      </w:r>
      <w:r w:rsidR="002D5B43">
        <w:rPr>
          <w:noProof/>
          <w:sz w:val="28"/>
          <w:szCs w:val="28"/>
        </w:rPr>
        <w:t>.</w:t>
      </w:r>
    </w:p>
    <w:p w14:paraId="6598572B" w14:textId="77777777" w:rsidR="002D5B43" w:rsidRDefault="002D5B43" w:rsidP="009932AF">
      <w:pPr>
        <w:ind w:firstLine="709"/>
        <w:jc w:val="both"/>
        <w:rPr>
          <w:noProof/>
          <w:sz w:val="28"/>
          <w:szCs w:val="28"/>
        </w:rPr>
      </w:pPr>
    </w:p>
    <w:p w14:paraId="0EB3DBE2" w14:textId="33ADF06A" w:rsidR="002A6FD1" w:rsidRDefault="002A6FD1" w:rsidP="00A22F35">
      <w:pPr>
        <w:jc w:val="both"/>
        <w:rPr>
          <w:noProof/>
          <w:sz w:val="16"/>
          <w:szCs w:val="16"/>
        </w:rPr>
      </w:pPr>
    </w:p>
    <w:sectPr w:rsidR="002A6FD1" w:rsidSect="00FC570E">
      <w:pgSz w:w="11906" w:h="16838" w:code="9"/>
      <w:pgMar w:top="567" w:right="749" w:bottom="1276" w:left="1267" w:header="432"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03ED5" w14:textId="77777777" w:rsidR="00B22553" w:rsidRDefault="00B22553">
      <w:r>
        <w:separator/>
      </w:r>
    </w:p>
  </w:endnote>
  <w:endnote w:type="continuationSeparator" w:id="0">
    <w:p w14:paraId="72C98BD5" w14:textId="77777777" w:rsidR="00B22553" w:rsidRDefault="00B2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FDD66" w14:textId="77777777" w:rsidR="00A106EE" w:rsidRDefault="00A106EE" w:rsidP="00DE5845">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F1D6946" w14:textId="77777777" w:rsidR="00A106EE" w:rsidRDefault="00A106EE" w:rsidP="0017359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0DA81" w14:textId="77777777" w:rsidR="00A106EE" w:rsidRDefault="00A106EE">
    <w:pPr>
      <w:pStyle w:val="a6"/>
      <w:jc w:val="right"/>
    </w:pPr>
    <w:r>
      <w:fldChar w:fldCharType="begin"/>
    </w:r>
    <w:r>
      <w:instrText xml:space="preserve"> PAGE   \* MERGEFORMAT </w:instrText>
    </w:r>
    <w:r>
      <w:fldChar w:fldCharType="separate"/>
    </w:r>
    <w:r w:rsidR="00184C9C">
      <w:rPr>
        <w:noProof/>
      </w:rPr>
      <w:t>4</w:t>
    </w:r>
    <w:r>
      <w:rPr>
        <w:noProof/>
      </w:rPr>
      <w:fldChar w:fldCharType="end"/>
    </w:r>
  </w:p>
  <w:p w14:paraId="445B47FA" w14:textId="77777777" w:rsidR="00A106EE" w:rsidRDefault="00A106EE" w:rsidP="0017359C">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B611B" w14:textId="77777777" w:rsidR="00B22553" w:rsidRDefault="00B22553">
      <w:r>
        <w:separator/>
      </w:r>
    </w:p>
  </w:footnote>
  <w:footnote w:type="continuationSeparator" w:id="0">
    <w:p w14:paraId="0BE9DB2F" w14:textId="77777777" w:rsidR="00B22553" w:rsidRDefault="00B22553">
      <w:r>
        <w:continuationSeparator/>
      </w:r>
    </w:p>
  </w:footnote>
  <w:footnote w:id="1">
    <w:p w14:paraId="29D1054B" w14:textId="77777777" w:rsidR="00A106EE" w:rsidRDefault="00A106EE" w:rsidP="002D7CC3">
      <w:pPr>
        <w:autoSpaceDE w:val="0"/>
        <w:autoSpaceDN w:val="0"/>
        <w:adjustRightInd w:val="0"/>
        <w:ind w:firstLine="540"/>
        <w:jc w:val="both"/>
      </w:pPr>
      <w:r>
        <w:rPr>
          <w:rStyle w:val="aa"/>
        </w:rPr>
        <w:footnoteRef/>
      </w:r>
      <w:r>
        <w:t xml:space="preserve"> </w:t>
      </w:r>
      <w:r>
        <w:rPr>
          <w:sz w:val="20"/>
          <w:szCs w:val="20"/>
        </w:rPr>
        <w:t>заинтересованные лица - лица, интересы которых в отношении товаров затрагиваются решениями, действиями (бездействием) таможенных органов непосредственно и индивидуально;</w:t>
      </w:r>
    </w:p>
  </w:footnote>
  <w:footnote w:id="2">
    <w:p w14:paraId="52C4DE45" w14:textId="77777777" w:rsidR="00A106EE" w:rsidRDefault="00A106EE" w:rsidP="00925FA7">
      <w:pPr>
        <w:autoSpaceDE w:val="0"/>
        <w:autoSpaceDN w:val="0"/>
        <w:adjustRightInd w:val="0"/>
        <w:ind w:firstLine="540"/>
        <w:jc w:val="both"/>
      </w:pPr>
      <w:r>
        <w:rPr>
          <w:rStyle w:val="aa"/>
        </w:rPr>
        <w:footnoteRef/>
      </w:r>
      <w:r>
        <w:t xml:space="preserve"> </w:t>
      </w:r>
      <w:r>
        <w:rPr>
          <w:sz w:val="20"/>
          <w:szCs w:val="20"/>
        </w:rPr>
        <w:t>таможенные операции - действия, совершаемые лицами и таможенными органами в целях обеспечения соблюдения таможенного законодательства таможенного союза;</w:t>
      </w:r>
    </w:p>
  </w:footnote>
  <w:footnote w:id="3">
    <w:p w14:paraId="658FD69B" w14:textId="77777777" w:rsidR="00A106EE" w:rsidRDefault="00A106EE" w:rsidP="00925FA7">
      <w:pPr>
        <w:autoSpaceDE w:val="0"/>
        <w:autoSpaceDN w:val="0"/>
        <w:adjustRightInd w:val="0"/>
        <w:ind w:firstLine="540"/>
        <w:jc w:val="both"/>
      </w:pPr>
      <w:r>
        <w:rPr>
          <w:rStyle w:val="aa"/>
        </w:rPr>
        <w:footnoteRef/>
      </w:r>
      <w:r>
        <w:t xml:space="preserve"> </w:t>
      </w:r>
      <w:r>
        <w:rPr>
          <w:sz w:val="20"/>
          <w:szCs w:val="20"/>
        </w:rPr>
        <w:t>таможенное декларирование - заявление декларантом таможенному органу сведений о товарах, об избранной таможенной процедуре и (или) иных сведений, необходимых для выпуска товаров;</w:t>
      </w:r>
    </w:p>
  </w:footnote>
  <w:footnote w:id="4">
    <w:p w14:paraId="5A28D478" w14:textId="77777777" w:rsidR="00A106EE" w:rsidRDefault="00A106EE" w:rsidP="00925FA7">
      <w:pPr>
        <w:autoSpaceDE w:val="0"/>
        <w:autoSpaceDN w:val="0"/>
        <w:adjustRightInd w:val="0"/>
        <w:ind w:firstLine="540"/>
        <w:jc w:val="both"/>
        <w:rPr>
          <w:sz w:val="20"/>
          <w:szCs w:val="20"/>
        </w:rPr>
      </w:pPr>
      <w:r>
        <w:rPr>
          <w:rStyle w:val="aa"/>
        </w:rPr>
        <w:footnoteRef/>
      </w:r>
      <w:r>
        <w:t xml:space="preserve"> </w:t>
      </w:r>
      <w:r>
        <w:rPr>
          <w:sz w:val="20"/>
          <w:szCs w:val="20"/>
        </w:rPr>
        <w:t>Таможенный транзит - таможенная процедура, в соответствии с которой товары перевозятся под таможенным контролем по таможенной территории таможенного союза, в том числе через территорию государства, не являющегося членом таможенного союза, от таможенного органа отправления до таможенного органа назначения без уплаты таможенных пошлин, налогов с применением запретов и ограничений, за исключением мер нетарифного и технического регулирования.</w:t>
      </w:r>
    </w:p>
    <w:p w14:paraId="6B6BE977" w14:textId="77777777" w:rsidR="00A106EE" w:rsidRDefault="00A106EE" w:rsidP="00925FA7">
      <w:pPr>
        <w:autoSpaceDE w:val="0"/>
        <w:autoSpaceDN w:val="0"/>
        <w:adjustRightInd w:val="0"/>
        <w:ind w:firstLine="540"/>
        <w:jc w:val="both"/>
      </w:pPr>
    </w:p>
  </w:footnote>
  <w:footnote w:id="5">
    <w:p w14:paraId="5515E09A" w14:textId="622D2D88" w:rsidR="00A106EE" w:rsidRDefault="00A106EE" w:rsidP="00B00E02">
      <w:pPr>
        <w:pStyle w:val="a8"/>
        <w:jc w:val="both"/>
      </w:pPr>
      <w:r>
        <w:rPr>
          <w:rStyle w:val="aa"/>
        </w:rPr>
        <w:footnoteRef/>
      </w:r>
      <w:r>
        <w:t xml:space="preserve"> </w:t>
      </w:r>
      <w:r w:rsidRPr="00B00E02">
        <w:t>Сопутствующими услугами следует считать погрузочно-разгрузочные работы, услуги взвешивания или иного определения количества товаров, погрузки, разгрузки, перегрузки, исправления поврежденной упаковки, вскрытия упаковки, упаковки либо переупаковки товаров, подлежащих таможенному контролю, а также вскрытие помещений, емкостей и други</w:t>
      </w:r>
      <w:r>
        <w:t>х мест, услуги по осуществлению</w:t>
      </w:r>
      <w:r w:rsidRPr="00B00E02">
        <w:t xml:space="preserve"> контроля делящихся и радиоактивных материалов, рентгеновского контроля.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8779F" w14:textId="77777777" w:rsidR="00A106EE" w:rsidRDefault="00A106EE" w:rsidP="00C3322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70A1EC0B" w14:textId="77777777" w:rsidR="00A106EE" w:rsidRDefault="00A106EE" w:rsidP="00A91125">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AE6C3" w14:textId="77777777" w:rsidR="00A106EE" w:rsidRDefault="00A106EE" w:rsidP="00A91125">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B0D55"/>
    <w:multiLevelType w:val="hybridMultilevel"/>
    <w:tmpl w:val="909E7408"/>
    <w:lvl w:ilvl="0" w:tplc="7130DE02">
      <w:start w:val="1"/>
      <w:numFmt w:val="decimal"/>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70509B5"/>
    <w:multiLevelType w:val="multilevel"/>
    <w:tmpl w:val="74A8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106D3F"/>
    <w:multiLevelType w:val="hybridMultilevel"/>
    <w:tmpl w:val="D1D20E80"/>
    <w:lvl w:ilvl="0" w:tplc="CD9695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86EE1"/>
    <w:multiLevelType w:val="hybridMultilevel"/>
    <w:tmpl w:val="D4429BE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A3D0696"/>
    <w:multiLevelType w:val="hybridMultilevel"/>
    <w:tmpl w:val="5F385B6A"/>
    <w:lvl w:ilvl="0" w:tplc="660AE9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nsid w:val="455C2D34"/>
    <w:multiLevelType w:val="hybridMultilevel"/>
    <w:tmpl w:val="5E820494"/>
    <w:lvl w:ilvl="0" w:tplc="11EABE1A">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FC5DF6"/>
    <w:multiLevelType w:val="hybridMultilevel"/>
    <w:tmpl w:val="DA3E0708"/>
    <w:lvl w:ilvl="0" w:tplc="4A1EB71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53E378DD"/>
    <w:multiLevelType w:val="hybridMultilevel"/>
    <w:tmpl w:val="1B1A2E06"/>
    <w:lvl w:ilvl="0" w:tplc="9DA69510">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53FC2B52"/>
    <w:multiLevelType w:val="hybridMultilevel"/>
    <w:tmpl w:val="54C473C6"/>
    <w:lvl w:ilvl="0" w:tplc="A4DAEB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A23EBF"/>
    <w:multiLevelType w:val="hybridMultilevel"/>
    <w:tmpl w:val="807EFC68"/>
    <w:lvl w:ilvl="0" w:tplc="E05A80E4">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5ADC65F3"/>
    <w:multiLevelType w:val="hybridMultilevel"/>
    <w:tmpl w:val="C180D624"/>
    <w:lvl w:ilvl="0" w:tplc="EC30B51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C84726A"/>
    <w:multiLevelType w:val="hybridMultilevel"/>
    <w:tmpl w:val="2F4E40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DDD218A"/>
    <w:multiLevelType w:val="hybridMultilevel"/>
    <w:tmpl w:val="DEAE55C8"/>
    <w:lvl w:ilvl="0" w:tplc="F0AC95E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3737DF4"/>
    <w:multiLevelType w:val="hybridMultilevel"/>
    <w:tmpl w:val="9C2E3B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378359C"/>
    <w:multiLevelType w:val="hybridMultilevel"/>
    <w:tmpl w:val="229C2E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FCC3750"/>
    <w:multiLevelType w:val="hybridMultilevel"/>
    <w:tmpl w:val="92C664AA"/>
    <w:lvl w:ilvl="0" w:tplc="25CA1E86">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75116C13"/>
    <w:multiLevelType w:val="hybridMultilevel"/>
    <w:tmpl w:val="D1CC23B6"/>
    <w:lvl w:ilvl="0" w:tplc="B1BAA330">
      <w:start w:val="6"/>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757277E2"/>
    <w:multiLevelType w:val="hybridMultilevel"/>
    <w:tmpl w:val="3C2CCAE8"/>
    <w:lvl w:ilvl="0" w:tplc="DE168DC4">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7A317472"/>
    <w:multiLevelType w:val="hybridMultilevel"/>
    <w:tmpl w:val="8B106444"/>
    <w:lvl w:ilvl="0" w:tplc="CD62E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A893472"/>
    <w:multiLevelType w:val="hybridMultilevel"/>
    <w:tmpl w:val="756AF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303BF7"/>
    <w:multiLevelType w:val="hybridMultilevel"/>
    <w:tmpl w:val="87BE0BAC"/>
    <w:lvl w:ilvl="0" w:tplc="DA94154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
  </w:num>
  <w:num w:numId="4">
    <w:abstractNumId w:val="3"/>
  </w:num>
  <w:num w:numId="5">
    <w:abstractNumId w:val="19"/>
  </w:num>
  <w:num w:numId="6">
    <w:abstractNumId w:val="13"/>
  </w:num>
  <w:num w:numId="7">
    <w:abstractNumId w:val="11"/>
  </w:num>
  <w:num w:numId="8">
    <w:abstractNumId w:val="20"/>
  </w:num>
  <w:num w:numId="9">
    <w:abstractNumId w:val="12"/>
  </w:num>
  <w:num w:numId="10">
    <w:abstractNumId w:val="7"/>
  </w:num>
  <w:num w:numId="11">
    <w:abstractNumId w:val="6"/>
  </w:num>
  <w:num w:numId="12">
    <w:abstractNumId w:val="0"/>
  </w:num>
  <w:num w:numId="13">
    <w:abstractNumId w:val="15"/>
  </w:num>
  <w:num w:numId="14">
    <w:abstractNumId w:val="16"/>
  </w:num>
  <w:num w:numId="15">
    <w:abstractNumId w:val="17"/>
  </w:num>
  <w:num w:numId="16">
    <w:abstractNumId w:val="9"/>
  </w:num>
  <w:num w:numId="17">
    <w:abstractNumId w:val="8"/>
  </w:num>
  <w:num w:numId="18">
    <w:abstractNumId w:val="5"/>
  </w:num>
  <w:num w:numId="19">
    <w:abstractNumId w:val="2"/>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067"/>
    <w:rsid w:val="00004CE1"/>
    <w:rsid w:val="00010963"/>
    <w:rsid w:val="000109C3"/>
    <w:rsid w:val="00010A68"/>
    <w:rsid w:val="000111D7"/>
    <w:rsid w:val="0001215B"/>
    <w:rsid w:val="0001332C"/>
    <w:rsid w:val="00013D44"/>
    <w:rsid w:val="000147F7"/>
    <w:rsid w:val="00014DBF"/>
    <w:rsid w:val="000163CA"/>
    <w:rsid w:val="0001677C"/>
    <w:rsid w:val="00016DBD"/>
    <w:rsid w:val="0002019D"/>
    <w:rsid w:val="000205D8"/>
    <w:rsid w:val="000209BC"/>
    <w:rsid w:val="0002102D"/>
    <w:rsid w:val="000219A5"/>
    <w:rsid w:val="00022B4F"/>
    <w:rsid w:val="00027B9E"/>
    <w:rsid w:val="000304E4"/>
    <w:rsid w:val="00032CB1"/>
    <w:rsid w:val="00033EC1"/>
    <w:rsid w:val="00034A8C"/>
    <w:rsid w:val="000358F5"/>
    <w:rsid w:val="00035BF5"/>
    <w:rsid w:val="00036D2B"/>
    <w:rsid w:val="0003791B"/>
    <w:rsid w:val="00037C43"/>
    <w:rsid w:val="0004347A"/>
    <w:rsid w:val="00043787"/>
    <w:rsid w:val="000448D6"/>
    <w:rsid w:val="00044C73"/>
    <w:rsid w:val="000462CF"/>
    <w:rsid w:val="000463D3"/>
    <w:rsid w:val="000465C7"/>
    <w:rsid w:val="00046A2E"/>
    <w:rsid w:val="00052542"/>
    <w:rsid w:val="00054067"/>
    <w:rsid w:val="000543C5"/>
    <w:rsid w:val="00054D5C"/>
    <w:rsid w:val="0005726E"/>
    <w:rsid w:val="000577D0"/>
    <w:rsid w:val="00057F9C"/>
    <w:rsid w:val="00062A29"/>
    <w:rsid w:val="00062D89"/>
    <w:rsid w:val="00070722"/>
    <w:rsid w:val="000715A6"/>
    <w:rsid w:val="000757E2"/>
    <w:rsid w:val="000770DD"/>
    <w:rsid w:val="000827DC"/>
    <w:rsid w:val="00083F60"/>
    <w:rsid w:val="00084A4B"/>
    <w:rsid w:val="00091953"/>
    <w:rsid w:val="00093563"/>
    <w:rsid w:val="000940E0"/>
    <w:rsid w:val="0009506C"/>
    <w:rsid w:val="000953DE"/>
    <w:rsid w:val="00096290"/>
    <w:rsid w:val="000A0654"/>
    <w:rsid w:val="000A3A02"/>
    <w:rsid w:val="000A3D5B"/>
    <w:rsid w:val="000A6582"/>
    <w:rsid w:val="000B0697"/>
    <w:rsid w:val="000B1A38"/>
    <w:rsid w:val="000B1DBC"/>
    <w:rsid w:val="000B2064"/>
    <w:rsid w:val="000B2A97"/>
    <w:rsid w:val="000B3D0D"/>
    <w:rsid w:val="000B4345"/>
    <w:rsid w:val="000B4756"/>
    <w:rsid w:val="000B6041"/>
    <w:rsid w:val="000B62D1"/>
    <w:rsid w:val="000B7C4E"/>
    <w:rsid w:val="000C00FC"/>
    <w:rsid w:val="000C1C0D"/>
    <w:rsid w:val="000C4730"/>
    <w:rsid w:val="000C5308"/>
    <w:rsid w:val="000C5818"/>
    <w:rsid w:val="000C7F28"/>
    <w:rsid w:val="000D2003"/>
    <w:rsid w:val="000D277B"/>
    <w:rsid w:val="000D71F9"/>
    <w:rsid w:val="000D767C"/>
    <w:rsid w:val="000D792B"/>
    <w:rsid w:val="000E0F81"/>
    <w:rsid w:val="000E219C"/>
    <w:rsid w:val="000E287A"/>
    <w:rsid w:val="000E2E1B"/>
    <w:rsid w:val="000E3639"/>
    <w:rsid w:val="000E3C5E"/>
    <w:rsid w:val="000E3CCC"/>
    <w:rsid w:val="000E539E"/>
    <w:rsid w:val="000E6B48"/>
    <w:rsid w:val="000F0737"/>
    <w:rsid w:val="000F2816"/>
    <w:rsid w:val="000F346C"/>
    <w:rsid w:val="000F3B0A"/>
    <w:rsid w:val="000F4192"/>
    <w:rsid w:val="000F49C8"/>
    <w:rsid w:val="000F5292"/>
    <w:rsid w:val="00102DF6"/>
    <w:rsid w:val="00105C31"/>
    <w:rsid w:val="00106819"/>
    <w:rsid w:val="001076D4"/>
    <w:rsid w:val="00111139"/>
    <w:rsid w:val="001111F9"/>
    <w:rsid w:val="0011346A"/>
    <w:rsid w:val="0011463C"/>
    <w:rsid w:val="00115CC0"/>
    <w:rsid w:val="00117029"/>
    <w:rsid w:val="00117750"/>
    <w:rsid w:val="001202A5"/>
    <w:rsid w:val="00120DF0"/>
    <w:rsid w:val="00121942"/>
    <w:rsid w:val="00123142"/>
    <w:rsid w:val="0012753B"/>
    <w:rsid w:val="001279ED"/>
    <w:rsid w:val="0013038C"/>
    <w:rsid w:val="00131150"/>
    <w:rsid w:val="001357B5"/>
    <w:rsid w:val="00135B2F"/>
    <w:rsid w:val="00135F8B"/>
    <w:rsid w:val="0013612D"/>
    <w:rsid w:val="00140CC1"/>
    <w:rsid w:val="0014427E"/>
    <w:rsid w:val="00146F4F"/>
    <w:rsid w:val="00150798"/>
    <w:rsid w:val="00150FED"/>
    <w:rsid w:val="00152102"/>
    <w:rsid w:val="001521CE"/>
    <w:rsid w:val="00152963"/>
    <w:rsid w:val="00156A7E"/>
    <w:rsid w:val="00157BFE"/>
    <w:rsid w:val="001603C7"/>
    <w:rsid w:val="001660FA"/>
    <w:rsid w:val="001662FA"/>
    <w:rsid w:val="00167252"/>
    <w:rsid w:val="001676CE"/>
    <w:rsid w:val="00171026"/>
    <w:rsid w:val="00171437"/>
    <w:rsid w:val="00171F97"/>
    <w:rsid w:val="0017354C"/>
    <w:rsid w:val="0017359C"/>
    <w:rsid w:val="0017376A"/>
    <w:rsid w:val="0017392B"/>
    <w:rsid w:val="00173F7D"/>
    <w:rsid w:val="0017403E"/>
    <w:rsid w:val="00177B57"/>
    <w:rsid w:val="00177DC1"/>
    <w:rsid w:val="00180FDE"/>
    <w:rsid w:val="00181C84"/>
    <w:rsid w:val="00184C9C"/>
    <w:rsid w:val="00185E37"/>
    <w:rsid w:val="00186BC6"/>
    <w:rsid w:val="00190E22"/>
    <w:rsid w:val="00192067"/>
    <w:rsid w:val="00192284"/>
    <w:rsid w:val="001934D3"/>
    <w:rsid w:val="00193C76"/>
    <w:rsid w:val="00193FED"/>
    <w:rsid w:val="00197C5E"/>
    <w:rsid w:val="001A1A8D"/>
    <w:rsid w:val="001A2389"/>
    <w:rsid w:val="001A3E00"/>
    <w:rsid w:val="001A40B1"/>
    <w:rsid w:val="001A4E62"/>
    <w:rsid w:val="001A527B"/>
    <w:rsid w:val="001A5710"/>
    <w:rsid w:val="001A7D7E"/>
    <w:rsid w:val="001B1267"/>
    <w:rsid w:val="001B1270"/>
    <w:rsid w:val="001B17E7"/>
    <w:rsid w:val="001B1819"/>
    <w:rsid w:val="001B2865"/>
    <w:rsid w:val="001B2A03"/>
    <w:rsid w:val="001B3F6C"/>
    <w:rsid w:val="001B4451"/>
    <w:rsid w:val="001B6504"/>
    <w:rsid w:val="001B72E1"/>
    <w:rsid w:val="001C12C3"/>
    <w:rsid w:val="001C278D"/>
    <w:rsid w:val="001C4CF6"/>
    <w:rsid w:val="001C6406"/>
    <w:rsid w:val="001C6773"/>
    <w:rsid w:val="001C6BA7"/>
    <w:rsid w:val="001D03D3"/>
    <w:rsid w:val="001D068C"/>
    <w:rsid w:val="001D0E47"/>
    <w:rsid w:val="001D2C28"/>
    <w:rsid w:val="001D3A55"/>
    <w:rsid w:val="001D52B5"/>
    <w:rsid w:val="001D5336"/>
    <w:rsid w:val="001D6E45"/>
    <w:rsid w:val="001D6E7A"/>
    <w:rsid w:val="001D79C0"/>
    <w:rsid w:val="001E0298"/>
    <w:rsid w:val="001E030F"/>
    <w:rsid w:val="001E0CB9"/>
    <w:rsid w:val="001E1151"/>
    <w:rsid w:val="001E24C9"/>
    <w:rsid w:val="001E2DFD"/>
    <w:rsid w:val="001E331B"/>
    <w:rsid w:val="001E3B2C"/>
    <w:rsid w:val="001E3DB7"/>
    <w:rsid w:val="001E579B"/>
    <w:rsid w:val="001E5DB0"/>
    <w:rsid w:val="001F521E"/>
    <w:rsid w:val="001F6049"/>
    <w:rsid w:val="001F75F2"/>
    <w:rsid w:val="001F78FE"/>
    <w:rsid w:val="001F7C6A"/>
    <w:rsid w:val="0020058A"/>
    <w:rsid w:val="00202C60"/>
    <w:rsid w:val="002032CD"/>
    <w:rsid w:val="00203F69"/>
    <w:rsid w:val="00204720"/>
    <w:rsid w:val="002051B0"/>
    <w:rsid w:val="002053B9"/>
    <w:rsid w:val="00205E7C"/>
    <w:rsid w:val="00213AC9"/>
    <w:rsid w:val="002143AD"/>
    <w:rsid w:val="00214FE8"/>
    <w:rsid w:val="00217063"/>
    <w:rsid w:val="0021788A"/>
    <w:rsid w:val="00217AFE"/>
    <w:rsid w:val="0022404B"/>
    <w:rsid w:val="002240EB"/>
    <w:rsid w:val="002253B3"/>
    <w:rsid w:val="00227B6F"/>
    <w:rsid w:val="00227F8C"/>
    <w:rsid w:val="00230BB6"/>
    <w:rsid w:val="00231336"/>
    <w:rsid w:val="00232D2E"/>
    <w:rsid w:val="00233358"/>
    <w:rsid w:val="00236777"/>
    <w:rsid w:val="0023727F"/>
    <w:rsid w:val="00237CB1"/>
    <w:rsid w:val="00240BA9"/>
    <w:rsid w:val="00240CE5"/>
    <w:rsid w:val="002447F5"/>
    <w:rsid w:val="00246CBC"/>
    <w:rsid w:val="00246D5D"/>
    <w:rsid w:val="00247B6F"/>
    <w:rsid w:val="00247C06"/>
    <w:rsid w:val="00250EE2"/>
    <w:rsid w:val="002524AB"/>
    <w:rsid w:val="00252713"/>
    <w:rsid w:val="002542EB"/>
    <w:rsid w:val="00257D19"/>
    <w:rsid w:val="0026160A"/>
    <w:rsid w:val="00261A30"/>
    <w:rsid w:val="0026296B"/>
    <w:rsid w:val="00263282"/>
    <w:rsid w:val="00263FB4"/>
    <w:rsid w:val="00264F6C"/>
    <w:rsid w:val="00266087"/>
    <w:rsid w:val="002676BA"/>
    <w:rsid w:val="0027013C"/>
    <w:rsid w:val="00270BC0"/>
    <w:rsid w:val="0027196D"/>
    <w:rsid w:val="0027472E"/>
    <w:rsid w:val="0027538D"/>
    <w:rsid w:val="002762B0"/>
    <w:rsid w:val="002775C6"/>
    <w:rsid w:val="002775D9"/>
    <w:rsid w:val="00277C9F"/>
    <w:rsid w:val="002803A1"/>
    <w:rsid w:val="00280DE6"/>
    <w:rsid w:val="00280DE7"/>
    <w:rsid w:val="002815E7"/>
    <w:rsid w:val="00284379"/>
    <w:rsid w:val="00285747"/>
    <w:rsid w:val="00286646"/>
    <w:rsid w:val="0028670D"/>
    <w:rsid w:val="00287F47"/>
    <w:rsid w:val="002935E3"/>
    <w:rsid w:val="00293B68"/>
    <w:rsid w:val="00293BE6"/>
    <w:rsid w:val="002962FA"/>
    <w:rsid w:val="002965A5"/>
    <w:rsid w:val="002967A8"/>
    <w:rsid w:val="00296878"/>
    <w:rsid w:val="002A3082"/>
    <w:rsid w:val="002A6FD1"/>
    <w:rsid w:val="002B081F"/>
    <w:rsid w:val="002B0B80"/>
    <w:rsid w:val="002B4545"/>
    <w:rsid w:val="002B536E"/>
    <w:rsid w:val="002B55A9"/>
    <w:rsid w:val="002B6DF1"/>
    <w:rsid w:val="002B6E7B"/>
    <w:rsid w:val="002B7786"/>
    <w:rsid w:val="002C034D"/>
    <w:rsid w:val="002C1198"/>
    <w:rsid w:val="002C1C63"/>
    <w:rsid w:val="002C62A4"/>
    <w:rsid w:val="002C63B2"/>
    <w:rsid w:val="002D0BB6"/>
    <w:rsid w:val="002D276A"/>
    <w:rsid w:val="002D4879"/>
    <w:rsid w:val="002D4B4F"/>
    <w:rsid w:val="002D5B43"/>
    <w:rsid w:val="002D6B42"/>
    <w:rsid w:val="002D7CC3"/>
    <w:rsid w:val="002E1200"/>
    <w:rsid w:val="002E3C0C"/>
    <w:rsid w:val="002E3C8A"/>
    <w:rsid w:val="002E47CD"/>
    <w:rsid w:val="002E4AD8"/>
    <w:rsid w:val="002E563B"/>
    <w:rsid w:val="002E5766"/>
    <w:rsid w:val="002E6328"/>
    <w:rsid w:val="002E7714"/>
    <w:rsid w:val="002F067F"/>
    <w:rsid w:val="002F0A67"/>
    <w:rsid w:val="002F177A"/>
    <w:rsid w:val="002F30C3"/>
    <w:rsid w:val="002F3697"/>
    <w:rsid w:val="002F39F8"/>
    <w:rsid w:val="002F3D89"/>
    <w:rsid w:val="00304C61"/>
    <w:rsid w:val="00305454"/>
    <w:rsid w:val="003055E4"/>
    <w:rsid w:val="003064DA"/>
    <w:rsid w:val="003068FB"/>
    <w:rsid w:val="003071C4"/>
    <w:rsid w:val="0031056E"/>
    <w:rsid w:val="00312428"/>
    <w:rsid w:val="00313282"/>
    <w:rsid w:val="00313291"/>
    <w:rsid w:val="0031376C"/>
    <w:rsid w:val="00315079"/>
    <w:rsid w:val="0031719B"/>
    <w:rsid w:val="00320F70"/>
    <w:rsid w:val="00326143"/>
    <w:rsid w:val="003271E9"/>
    <w:rsid w:val="0032799C"/>
    <w:rsid w:val="00327E09"/>
    <w:rsid w:val="00333065"/>
    <w:rsid w:val="0033384F"/>
    <w:rsid w:val="00337A7D"/>
    <w:rsid w:val="00340000"/>
    <w:rsid w:val="00340D7A"/>
    <w:rsid w:val="00350A50"/>
    <w:rsid w:val="00350C3D"/>
    <w:rsid w:val="00351DF1"/>
    <w:rsid w:val="0035260A"/>
    <w:rsid w:val="003544DE"/>
    <w:rsid w:val="00355DB4"/>
    <w:rsid w:val="003639F8"/>
    <w:rsid w:val="0036474D"/>
    <w:rsid w:val="00365DAD"/>
    <w:rsid w:val="00373895"/>
    <w:rsid w:val="003738D4"/>
    <w:rsid w:val="00376289"/>
    <w:rsid w:val="00380C3F"/>
    <w:rsid w:val="00380D9E"/>
    <w:rsid w:val="00382AA1"/>
    <w:rsid w:val="00384162"/>
    <w:rsid w:val="00385640"/>
    <w:rsid w:val="00392061"/>
    <w:rsid w:val="003943F1"/>
    <w:rsid w:val="0039576A"/>
    <w:rsid w:val="003A383B"/>
    <w:rsid w:val="003A4ED4"/>
    <w:rsid w:val="003A5741"/>
    <w:rsid w:val="003A61EF"/>
    <w:rsid w:val="003B29FF"/>
    <w:rsid w:val="003B2B59"/>
    <w:rsid w:val="003B611E"/>
    <w:rsid w:val="003B6725"/>
    <w:rsid w:val="003C0DF0"/>
    <w:rsid w:val="003C2F7E"/>
    <w:rsid w:val="003C6F54"/>
    <w:rsid w:val="003C7F93"/>
    <w:rsid w:val="003D1A0D"/>
    <w:rsid w:val="003D3EA6"/>
    <w:rsid w:val="003D4F23"/>
    <w:rsid w:val="003D65F8"/>
    <w:rsid w:val="003D6F9A"/>
    <w:rsid w:val="003E0904"/>
    <w:rsid w:val="003E1A52"/>
    <w:rsid w:val="003E1DA9"/>
    <w:rsid w:val="003E2429"/>
    <w:rsid w:val="003E364B"/>
    <w:rsid w:val="003E4971"/>
    <w:rsid w:val="003E60DA"/>
    <w:rsid w:val="003F0CC6"/>
    <w:rsid w:val="003F36ED"/>
    <w:rsid w:val="003F5D0A"/>
    <w:rsid w:val="003F748C"/>
    <w:rsid w:val="00402B6C"/>
    <w:rsid w:val="004043B4"/>
    <w:rsid w:val="004058AD"/>
    <w:rsid w:val="004058C6"/>
    <w:rsid w:val="00406C8B"/>
    <w:rsid w:val="00407912"/>
    <w:rsid w:val="00407EAC"/>
    <w:rsid w:val="0041102F"/>
    <w:rsid w:val="004123B3"/>
    <w:rsid w:val="00412D60"/>
    <w:rsid w:val="004136CB"/>
    <w:rsid w:val="00414433"/>
    <w:rsid w:val="00417ED2"/>
    <w:rsid w:val="00420B5E"/>
    <w:rsid w:val="00423808"/>
    <w:rsid w:val="004249D4"/>
    <w:rsid w:val="00425F43"/>
    <w:rsid w:val="00426F81"/>
    <w:rsid w:val="00427FF0"/>
    <w:rsid w:val="00430F67"/>
    <w:rsid w:val="0043534F"/>
    <w:rsid w:val="004365F7"/>
    <w:rsid w:val="00436DA4"/>
    <w:rsid w:val="0044372D"/>
    <w:rsid w:val="004446F5"/>
    <w:rsid w:val="00446D36"/>
    <w:rsid w:val="0045022E"/>
    <w:rsid w:val="00453FC9"/>
    <w:rsid w:val="00453FF3"/>
    <w:rsid w:val="00455861"/>
    <w:rsid w:val="00455AE4"/>
    <w:rsid w:val="00455FB0"/>
    <w:rsid w:val="0045735C"/>
    <w:rsid w:val="00457FBC"/>
    <w:rsid w:val="00462AA7"/>
    <w:rsid w:val="00464A55"/>
    <w:rsid w:val="00466E30"/>
    <w:rsid w:val="00467233"/>
    <w:rsid w:val="00471393"/>
    <w:rsid w:val="00472549"/>
    <w:rsid w:val="00473253"/>
    <w:rsid w:val="00473D4F"/>
    <w:rsid w:val="00473FDF"/>
    <w:rsid w:val="00483F0A"/>
    <w:rsid w:val="00485850"/>
    <w:rsid w:val="0048685D"/>
    <w:rsid w:val="0048774C"/>
    <w:rsid w:val="004924B3"/>
    <w:rsid w:val="004933EB"/>
    <w:rsid w:val="00493A11"/>
    <w:rsid w:val="00493CA0"/>
    <w:rsid w:val="00494305"/>
    <w:rsid w:val="00496058"/>
    <w:rsid w:val="004969F6"/>
    <w:rsid w:val="004A3CEF"/>
    <w:rsid w:val="004A4F4C"/>
    <w:rsid w:val="004A672D"/>
    <w:rsid w:val="004A6BE3"/>
    <w:rsid w:val="004C3429"/>
    <w:rsid w:val="004C3672"/>
    <w:rsid w:val="004C4633"/>
    <w:rsid w:val="004C5D50"/>
    <w:rsid w:val="004D6B8B"/>
    <w:rsid w:val="004D6E4E"/>
    <w:rsid w:val="004E40C0"/>
    <w:rsid w:val="004E45AC"/>
    <w:rsid w:val="004E7989"/>
    <w:rsid w:val="004F2755"/>
    <w:rsid w:val="004F4334"/>
    <w:rsid w:val="004F7372"/>
    <w:rsid w:val="00504AA9"/>
    <w:rsid w:val="005122C3"/>
    <w:rsid w:val="00520504"/>
    <w:rsid w:val="005228D6"/>
    <w:rsid w:val="00522FAC"/>
    <w:rsid w:val="005245FF"/>
    <w:rsid w:val="005253DB"/>
    <w:rsid w:val="00527B4D"/>
    <w:rsid w:val="0053020A"/>
    <w:rsid w:val="00532BAA"/>
    <w:rsid w:val="00537D66"/>
    <w:rsid w:val="00542013"/>
    <w:rsid w:val="00542CD7"/>
    <w:rsid w:val="00543081"/>
    <w:rsid w:val="005436D9"/>
    <w:rsid w:val="00543FEA"/>
    <w:rsid w:val="00545D86"/>
    <w:rsid w:val="00550CDA"/>
    <w:rsid w:val="00551128"/>
    <w:rsid w:val="00551C4B"/>
    <w:rsid w:val="005535FC"/>
    <w:rsid w:val="00555060"/>
    <w:rsid w:val="00555BE2"/>
    <w:rsid w:val="00557471"/>
    <w:rsid w:val="005619EE"/>
    <w:rsid w:val="00561D06"/>
    <w:rsid w:val="00562D7D"/>
    <w:rsid w:val="00562F24"/>
    <w:rsid w:val="00565AB1"/>
    <w:rsid w:val="00571A2A"/>
    <w:rsid w:val="00572B4F"/>
    <w:rsid w:val="00572E11"/>
    <w:rsid w:val="00573008"/>
    <w:rsid w:val="005735C7"/>
    <w:rsid w:val="00573F9E"/>
    <w:rsid w:val="005758DA"/>
    <w:rsid w:val="00581FE3"/>
    <w:rsid w:val="005833A5"/>
    <w:rsid w:val="0058376F"/>
    <w:rsid w:val="00584E4F"/>
    <w:rsid w:val="00585987"/>
    <w:rsid w:val="00585A79"/>
    <w:rsid w:val="00590B56"/>
    <w:rsid w:val="005917AF"/>
    <w:rsid w:val="00593EEB"/>
    <w:rsid w:val="005A04AA"/>
    <w:rsid w:val="005A1A51"/>
    <w:rsid w:val="005A2785"/>
    <w:rsid w:val="005A3BCA"/>
    <w:rsid w:val="005A6AD1"/>
    <w:rsid w:val="005B1B51"/>
    <w:rsid w:val="005B31D8"/>
    <w:rsid w:val="005B372C"/>
    <w:rsid w:val="005B5D03"/>
    <w:rsid w:val="005C144A"/>
    <w:rsid w:val="005C159F"/>
    <w:rsid w:val="005C1BAE"/>
    <w:rsid w:val="005C37D7"/>
    <w:rsid w:val="005C39DC"/>
    <w:rsid w:val="005C3C13"/>
    <w:rsid w:val="005C5EFF"/>
    <w:rsid w:val="005C7FC2"/>
    <w:rsid w:val="005D014A"/>
    <w:rsid w:val="005D01C5"/>
    <w:rsid w:val="005D0BED"/>
    <w:rsid w:val="005D205D"/>
    <w:rsid w:val="005D35ED"/>
    <w:rsid w:val="005D7958"/>
    <w:rsid w:val="005E08B6"/>
    <w:rsid w:val="005E1CCA"/>
    <w:rsid w:val="005E41F3"/>
    <w:rsid w:val="005E74F8"/>
    <w:rsid w:val="005F0BB8"/>
    <w:rsid w:val="005F6112"/>
    <w:rsid w:val="005F7CEF"/>
    <w:rsid w:val="006012B7"/>
    <w:rsid w:val="00602377"/>
    <w:rsid w:val="006038E7"/>
    <w:rsid w:val="00607A2D"/>
    <w:rsid w:val="0061538D"/>
    <w:rsid w:val="00617D7B"/>
    <w:rsid w:val="0062216B"/>
    <w:rsid w:val="006227DD"/>
    <w:rsid w:val="00622E54"/>
    <w:rsid w:val="0062395D"/>
    <w:rsid w:val="00626277"/>
    <w:rsid w:val="0063092A"/>
    <w:rsid w:val="00630B29"/>
    <w:rsid w:val="006338BB"/>
    <w:rsid w:val="0063538E"/>
    <w:rsid w:val="00640356"/>
    <w:rsid w:val="006426A6"/>
    <w:rsid w:val="00642DCF"/>
    <w:rsid w:val="0064330F"/>
    <w:rsid w:val="0064376F"/>
    <w:rsid w:val="006508E7"/>
    <w:rsid w:val="0065139B"/>
    <w:rsid w:val="006539D1"/>
    <w:rsid w:val="00654D21"/>
    <w:rsid w:val="00654FA0"/>
    <w:rsid w:val="00656432"/>
    <w:rsid w:val="00656838"/>
    <w:rsid w:val="0065685D"/>
    <w:rsid w:val="006612CA"/>
    <w:rsid w:val="00661674"/>
    <w:rsid w:val="00662225"/>
    <w:rsid w:val="00662768"/>
    <w:rsid w:val="006645B6"/>
    <w:rsid w:val="00664AD5"/>
    <w:rsid w:val="006656ED"/>
    <w:rsid w:val="006659BE"/>
    <w:rsid w:val="0066773E"/>
    <w:rsid w:val="00671C6C"/>
    <w:rsid w:val="0067453A"/>
    <w:rsid w:val="0067620F"/>
    <w:rsid w:val="006808BA"/>
    <w:rsid w:val="00681AC6"/>
    <w:rsid w:val="0068308E"/>
    <w:rsid w:val="00684417"/>
    <w:rsid w:val="0068494C"/>
    <w:rsid w:val="0068526D"/>
    <w:rsid w:val="0068702F"/>
    <w:rsid w:val="006875A3"/>
    <w:rsid w:val="006905A0"/>
    <w:rsid w:val="00691947"/>
    <w:rsid w:val="00693B4B"/>
    <w:rsid w:val="00694DCF"/>
    <w:rsid w:val="00696C3F"/>
    <w:rsid w:val="006A0D1E"/>
    <w:rsid w:val="006A14F1"/>
    <w:rsid w:val="006A1F86"/>
    <w:rsid w:val="006A40C8"/>
    <w:rsid w:val="006A77E5"/>
    <w:rsid w:val="006B4309"/>
    <w:rsid w:val="006B448F"/>
    <w:rsid w:val="006B4D82"/>
    <w:rsid w:val="006B4DA2"/>
    <w:rsid w:val="006B7D12"/>
    <w:rsid w:val="006C0064"/>
    <w:rsid w:val="006C19AD"/>
    <w:rsid w:val="006C1C02"/>
    <w:rsid w:val="006C22CD"/>
    <w:rsid w:val="006C277C"/>
    <w:rsid w:val="006C3571"/>
    <w:rsid w:val="006C3B50"/>
    <w:rsid w:val="006C7AB6"/>
    <w:rsid w:val="006C7D5D"/>
    <w:rsid w:val="006D3EA3"/>
    <w:rsid w:val="006D4227"/>
    <w:rsid w:val="006D4738"/>
    <w:rsid w:val="006E46AE"/>
    <w:rsid w:val="006E7D45"/>
    <w:rsid w:val="006F1A94"/>
    <w:rsid w:val="006F542F"/>
    <w:rsid w:val="006F5D59"/>
    <w:rsid w:val="006F7A25"/>
    <w:rsid w:val="006F7F99"/>
    <w:rsid w:val="0070203D"/>
    <w:rsid w:val="007025D3"/>
    <w:rsid w:val="007036A7"/>
    <w:rsid w:val="00704896"/>
    <w:rsid w:val="0070661E"/>
    <w:rsid w:val="00707890"/>
    <w:rsid w:val="007113F1"/>
    <w:rsid w:val="00711745"/>
    <w:rsid w:val="00711B7F"/>
    <w:rsid w:val="00712AF7"/>
    <w:rsid w:val="00714FC0"/>
    <w:rsid w:val="00715650"/>
    <w:rsid w:val="00716536"/>
    <w:rsid w:val="00716613"/>
    <w:rsid w:val="0071667D"/>
    <w:rsid w:val="007168AA"/>
    <w:rsid w:val="00716E00"/>
    <w:rsid w:val="007170AC"/>
    <w:rsid w:val="00717448"/>
    <w:rsid w:val="007247AE"/>
    <w:rsid w:val="00726ED8"/>
    <w:rsid w:val="00731BA3"/>
    <w:rsid w:val="00731E68"/>
    <w:rsid w:val="00732491"/>
    <w:rsid w:val="00732743"/>
    <w:rsid w:val="00732E50"/>
    <w:rsid w:val="007341EC"/>
    <w:rsid w:val="00735628"/>
    <w:rsid w:val="00737833"/>
    <w:rsid w:val="00741024"/>
    <w:rsid w:val="00742766"/>
    <w:rsid w:val="00743840"/>
    <w:rsid w:val="00743DB6"/>
    <w:rsid w:val="00750C1A"/>
    <w:rsid w:val="007511C5"/>
    <w:rsid w:val="00752360"/>
    <w:rsid w:val="00755730"/>
    <w:rsid w:val="00756612"/>
    <w:rsid w:val="00756C9E"/>
    <w:rsid w:val="00757E6C"/>
    <w:rsid w:val="00762C20"/>
    <w:rsid w:val="007646F1"/>
    <w:rsid w:val="00767B99"/>
    <w:rsid w:val="007700C6"/>
    <w:rsid w:val="00771955"/>
    <w:rsid w:val="007741D8"/>
    <w:rsid w:val="0077436D"/>
    <w:rsid w:val="00774A16"/>
    <w:rsid w:val="0077610C"/>
    <w:rsid w:val="007771E8"/>
    <w:rsid w:val="0077749E"/>
    <w:rsid w:val="00780904"/>
    <w:rsid w:val="007831E9"/>
    <w:rsid w:val="00783D01"/>
    <w:rsid w:val="00785506"/>
    <w:rsid w:val="00786334"/>
    <w:rsid w:val="00786B66"/>
    <w:rsid w:val="0078785C"/>
    <w:rsid w:val="00787AF7"/>
    <w:rsid w:val="00791B48"/>
    <w:rsid w:val="00793588"/>
    <w:rsid w:val="00796260"/>
    <w:rsid w:val="00796F3F"/>
    <w:rsid w:val="00797AE0"/>
    <w:rsid w:val="007A0318"/>
    <w:rsid w:val="007A0EE0"/>
    <w:rsid w:val="007A157C"/>
    <w:rsid w:val="007A3980"/>
    <w:rsid w:val="007A39EE"/>
    <w:rsid w:val="007A3DB2"/>
    <w:rsid w:val="007A400B"/>
    <w:rsid w:val="007A4195"/>
    <w:rsid w:val="007A4B3A"/>
    <w:rsid w:val="007A5109"/>
    <w:rsid w:val="007A774D"/>
    <w:rsid w:val="007B0EC5"/>
    <w:rsid w:val="007C0AD8"/>
    <w:rsid w:val="007C1F87"/>
    <w:rsid w:val="007C3B0F"/>
    <w:rsid w:val="007C6A92"/>
    <w:rsid w:val="007D224D"/>
    <w:rsid w:val="007D2C99"/>
    <w:rsid w:val="007D3497"/>
    <w:rsid w:val="007D40FF"/>
    <w:rsid w:val="007E4998"/>
    <w:rsid w:val="007E60B6"/>
    <w:rsid w:val="007E65E0"/>
    <w:rsid w:val="007E71AE"/>
    <w:rsid w:val="007E7458"/>
    <w:rsid w:val="007E7BED"/>
    <w:rsid w:val="007E7F30"/>
    <w:rsid w:val="007F0930"/>
    <w:rsid w:val="007F1336"/>
    <w:rsid w:val="007F13B0"/>
    <w:rsid w:val="007F15E4"/>
    <w:rsid w:val="007F1DF4"/>
    <w:rsid w:val="007F24A8"/>
    <w:rsid w:val="007F390F"/>
    <w:rsid w:val="007F47DD"/>
    <w:rsid w:val="007F4F13"/>
    <w:rsid w:val="007F5C56"/>
    <w:rsid w:val="008009DD"/>
    <w:rsid w:val="008030E1"/>
    <w:rsid w:val="00803C3F"/>
    <w:rsid w:val="008043C7"/>
    <w:rsid w:val="008051E3"/>
    <w:rsid w:val="008056B9"/>
    <w:rsid w:val="0080587D"/>
    <w:rsid w:val="00811775"/>
    <w:rsid w:val="008142FF"/>
    <w:rsid w:val="008156C4"/>
    <w:rsid w:val="00817C0B"/>
    <w:rsid w:val="008206B8"/>
    <w:rsid w:val="00822FA8"/>
    <w:rsid w:val="00824A58"/>
    <w:rsid w:val="00825B61"/>
    <w:rsid w:val="00825D3D"/>
    <w:rsid w:val="00826204"/>
    <w:rsid w:val="00826E29"/>
    <w:rsid w:val="00831B24"/>
    <w:rsid w:val="0083276B"/>
    <w:rsid w:val="008375FC"/>
    <w:rsid w:val="0084043F"/>
    <w:rsid w:val="00841EC9"/>
    <w:rsid w:val="00844171"/>
    <w:rsid w:val="00844AF4"/>
    <w:rsid w:val="0084525A"/>
    <w:rsid w:val="00846CFC"/>
    <w:rsid w:val="008475DE"/>
    <w:rsid w:val="00851508"/>
    <w:rsid w:val="008521E6"/>
    <w:rsid w:val="00853DD5"/>
    <w:rsid w:val="00853EC2"/>
    <w:rsid w:val="008554D6"/>
    <w:rsid w:val="00857303"/>
    <w:rsid w:val="00865AE8"/>
    <w:rsid w:val="0086777E"/>
    <w:rsid w:val="0087257C"/>
    <w:rsid w:val="00874086"/>
    <w:rsid w:val="008773B3"/>
    <w:rsid w:val="00880276"/>
    <w:rsid w:val="00880391"/>
    <w:rsid w:val="00881A66"/>
    <w:rsid w:val="008852C8"/>
    <w:rsid w:val="0088770E"/>
    <w:rsid w:val="00891B2E"/>
    <w:rsid w:val="00892556"/>
    <w:rsid w:val="00892FB8"/>
    <w:rsid w:val="008959B5"/>
    <w:rsid w:val="008A01B6"/>
    <w:rsid w:val="008A0C36"/>
    <w:rsid w:val="008A0F64"/>
    <w:rsid w:val="008A1238"/>
    <w:rsid w:val="008A2825"/>
    <w:rsid w:val="008A3135"/>
    <w:rsid w:val="008A35D4"/>
    <w:rsid w:val="008A4536"/>
    <w:rsid w:val="008A47F7"/>
    <w:rsid w:val="008A5FA6"/>
    <w:rsid w:val="008B4551"/>
    <w:rsid w:val="008B4EB4"/>
    <w:rsid w:val="008B5456"/>
    <w:rsid w:val="008C2709"/>
    <w:rsid w:val="008C409D"/>
    <w:rsid w:val="008C4E24"/>
    <w:rsid w:val="008C7DFF"/>
    <w:rsid w:val="008C7E48"/>
    <w:rsid w:val="008D5E40"/>
    <w:rsid w:val="008D6311"/>
    <w:rsid w:val="008D7A8C"/>
    <w:rsid w:val="008E3727"/>
    <w:rsid w:val="008E492D"/>
    <w:rsid w:val="008E4A6B"/>
    <w:rsid w:val="008E6684"/>
    <w:rsid w:val="008F0AAD"/>
    <w:rsid w:val="008F12EC"/>
    <w:rsid w:val="008F2DD1"/>
    <w:rsid w:val="008F3815"/>
    <w:rsid w:val="008F4ACB"/>
    <w:rsid w:val="008F4B0B"/>
    <w:rsid w:val="00901BB6"/>
    <w:rsid w:val="009060B0"/>
    <w:rsid w:val="009063D9"/>
    <w:rsid w:val="009077E0"/>
    <w:rsid w:val="00910FE6"/>
    <w:rsid w:val="00911429"/>
    <w:rsid w:val="00911816"/>
    <w:rsid w:val="009121D4"/>
    <w:rsid w:val="009134B8"/>
    <w:rsid w:val="00913ECF"/>
    <w:rsid w:val="00920483"/>
    <w:rsid w:val="00922A69"/>
    <w:rsid w:val="00922B1D"/>
    <w:rsid w:val="00922C23"/>
    <w:rsid w:val="0092473C"/>
    <w:rsid w:val="00925FA7"/>
    <w:rsid w:val="00926DC8"/>
    <w:rsid w:val="00927778"/>
    <w:rsid w:val="009278BB"/>
    <w:rsid w:val="00930117"/>
    <w:rsid w:val="009322D4"/>
    <w:rsid w:val="00937742"/>
    <w:rsid w:val="00937D07"/>
    <w:rsid w:val="0094051B"/>
    <w:rsid w:val="00944393"/>
    <w:rsid w:val="0094527D"/>
    <w:rsid w:val="00945662"/>
    <w:rsid w:val="0094780A"/>
    <w:rsid w:val="009479A6"/>
    <w:rsid w:val="009508D1"/>
    <w:rsid w:val="0095282D"/>
    <w:rsid w:val="009529E9"/>
    <w:rsid w:val="009529EB"/>
    <w:rsid w:val="0095425B"/>
    <w:rsid w:val="00954A16"/>
    <w:rsid w:val="00955E47"/>
    <w:rsid w:val="009570E5"/>
    <w:rsid w:val="009570F3"/>
    <w:rsid w:val="009646FC"/>
    <w:rsid w:val="00966389"/>
    <w:rsid w:val="00966BE0"/>
    <w:rsid w:val="009671FE"/>
    <w:rsid w:val="00970E83"/>
    <w:rsid w:val="00972800"/>
    <w:rsid w:val="0097512A"/>
    <w:rsid w:val="00975DD5"/>
    <w:rsid w:val="00977783"/>
    <w:rsid w:val="0098087C"/>
    <w:rsid w:val="00982417"/>
    <w:rsid w:val="00982856"/>
    <w:rsid w:val="00983517"/>
    <w:rsid w:val="0098362A"/>
    <w:rsid w:val="0098746C"/>
    <w:rsid w:val="00987BCF"/>
    <w:rsid w:val="009932AF"/>
    <w:rsid w:val="00993D88"/>
    <w:rsid w:val="00996590"/>
    <w:rsid w:val="009A0C06"/>
    <w:rsid w:val="009A0DCF"/>
    <w:rsid w:val="009A144C"/>
    <w:rsid w:val="009A227A"/>
    <w:rsid w:val="009A2BAE"/>
    <w:rsid w:val="009A442E"/>
    <w:rsid w:val="009A46F9"/>
    <w:rsid w:val="009A47E9"/>
    <w:rsid w:val="009A48A8"/>
    <w:rsid w:val="009A4A78"/>
    <w:rsid w:val="009A67DE"/>
    <w:rsid w:val="009A69C3"/>
    <w:rsid w:val="009B0B67"/>
    <w:rsid w:val="009B111E"/>
    <w:rsid w:val="009B1765"/>
    <w:rsid w:val="009B17AC"/>
    <w:rsid w:val="009B2DF4"/>
    <w:rsid w:val="009B41DE"/>
    <w:rsid w:val="009B503C"/>
    <w:rsid w:val="009B5548"/>
    <w:rsid w:val="009B583C"/>
    <w:rsid w:val="009B5E52"/>
    <w:rsid w:val="009C1627"/>
    <w:rsid w:val="009C4245"/>
    <w:rsid w:val="009C46BA"/>
    <w:rsid w:val="009C5B0F"/>
    <w:rsid w:val="009C5D24"/>
    <w:rsid w:val="009C76B6"/>
    <w:rsid w:val="009D0463"/>
    <w:rsid w:val="009D0C9F"/>
    <w:rsid w:val="009D0ED4"/>
    <w:rsid w:val="009D1D5F"/>
    <w:rsid w:val="009D203E"/>
    <w:rsid w:val="009D339F"/>
    <w:rsid w:val="009D38E7"/>
    <w:rsid w:val="009D3AE0"/>
    <w:rsid w:val="009D5EE9"/>
    <w:rsid w:val="009E1057"/>
    <w:rsid w:val="009E332E"/>
    <w:rsid w:val="009E4C48"/>
    <w:rsid w:val="009F02E4"/>
    <w:rsid w:val="009F0393"/>
    <w:rsid w:val="009F0961"/>
    <w:rsid w:val="009F0F27"/>
    <w:rsid w:val="009F2064"/>
    <w:rsid w:val="009F7C12"/>
    <w:rsid w:val="00A00568"/>
    <w:rsid w:val="00A00776"/>
    <w:rsid w:val="00A01DE3"/>
    <w:rsid w:val="00A01FC3"/>
    <w:rsid w:val="00A04B61"/>
    <w:rsid w:val="00A04FA3"/>
    <w:rsid w:val="00A106EE"/>
    <w:rsid w:val="00A109C1"/>
    <w:rsid w:val="00A10DEF"/>
    <w:rsid w:val="00A11685"/>
    <w:rsid w:val="00A13E60"/>
    <w:rsid w:val="00A15DF2"/>
    <w:rsid w:val="00A22F35"/>
    <w:rsid w:val="00A233CD"/>
    <w:rsid w:val="00A25705"/>
    <w:rsid w:val="00A26192"/>
    <w:rsid w:val="00A31D8A"/>
    <w:rsid w:val="00A322AA"/>
    <w:rsid w:val="00A3425D"/>
    <w:rsid w:val="00A376A2"/>
    <w:rsid w:val="00A43275"/>
    <w:rsid w:val="00A44B4A"/>
    <w:rsid w:val="00A454B8"/>
    <w:rsid w:val="00A45961"/>
    <w:rsid w:val="00A4627E"/>
    <w:rsid w:val="00A531CE"/>
    <w:rsid w:val="00A5360B"/>
    <w:rsid w:val="00A56B1D"/>
    <w:rsid w:val="00A5763B"/>
    <w:rsid w:val="00A64115"/>
    <w:rsid w:val="00A64677"/>
    <w:rsid w:val="00A65CB9"/>
    <w:rsid w:val="00A67051"/>
    <w:rsid w:val="00A70A1F"/>
    <w:rsid w:val="00A71ADC"/>
    <w:rsid w:val="00A71E1E"/>
    <w:rsid w:val="00A71FA8"/>
    <w:rsid w:val="00A7249A"/>
    <w:rsid w:val="00A74440"/>
    <w:rsid w:val="00A81B04"/>
    <w:rsid w:val="00A81B1A"/>
    <w:rsid w:val="00A82817"/>
    <w:rsid w:val="00A83BDB"/>
    <w:rsid w:val="00A84415"/>
    <w:rsid w:val="00A86A04"/>
    <w:rsid w:val="00A91125"/>
    <w:rsid w:val="00A92232"/>
    <w:rsid w:val="00A92339"/>
    <w:rsid w:val="00A92D87"/>
    <w:rsid w:val="00A942CE"/>
    <w:rsid w:val="00A94BDB"/>
    <w:rsid w:val="00A976FA"/>
    <w:rsid w:val="00AA3019"/>
    <w:rsid w:val="00AA3178"/>
    <w:rsid w:val="00AA34BB"/>
    <w:rsid w:val="00AA4050"/>
    <w:rsid w:val="00AA6BC3"/>
    <w:rsid w:val="00AB0FA8"/>
    <w:rsid w:val="00AB1E29"/>
    <w:rsid w:val="00AB286D"/>
    <w:rsid w:val="00AB7142"/>
    <w:rsid w:val="00AB7153"/>
    <w:rsid w:val="00AB7BAF"/>
    <w:rsid w:val="00AC0E43"/>
    <w:rsid w:val="00AC2252"/>
    <w:rsid w:val="00AC6B64"/>
    <w:rsid w:val="00AD1CD8"/>
    <w:rsid w:val="00AD2E33"/>
    <w:rsid w:val="00AD56B7"/>
    <w:rsid w:val="00AE4AB3"/>
    <w:rsid w:val="00AE5ACB"/>
    <w:rsid w:val="00AE6A0F"/>
    <w:rsid w:val="00AE756B"/>
    <w:rsid w:val="00AF0801"/>
    <w:rsid w:val="00AF1FC8"/>
    <w:rsid w:val="00AF2EFC"/>
    <w:rsid w:val="00AF4DC7"/>
    <w:rsid w:val="00AF54D5"/>
    <w:rsid w:val="00AF56B3"/>
    <w:rsid w:val="00B00E02"/>
    <w:rsid w:val="00B020F9"/>
    <w:rsid w:val="00B02217"/>
    <w:rsid w:val="00B05C8A"/>
    <w:rsid w:val="00B06193"/>
    <w:rsid w:val="00B06DDF"/>
    <w:rsid w:val="00B11376"/>
    <w:rsid w:val="00B15073"/>
    <w:rsid w:val="00B15178"/>
    <w:rsid w:val="00B16BCA"/>
    <w:rsid w:val="00B170F5"/>
    <w:rsid w:val="00B1712D"/>
    <w:rsid w:val="00B22471"/>
    <w:rsid w:val="00B22553"/>
    <w:rsid w:val="00B22748"/>
    <w:rsid w:val="00B2566D"/>
    <w:rsid w:val="00B2647E"/>
    <w:rsid w:val="00B26B43"/>
    <w:rsid w:val="00B30005"/>
    <w:rsid w:val="00B318C5"/>
    <w:rsid w:val="00B31DB1"/>
    <w:rsid w:val="00B4113E"/>
    <w:rsid w:val="00B4139C"/>
    <w:rsid w:val="00B4397A"/>
    <w:rsid w:val="00B44C24"/>
    <w:rsid w:val="00B465D7"/>
    <w:rsid w:val="00B51350"/>
    <w:rsid w:val="00B51A70"/>
    <w:rsid w:val="00B53734"/>
    <w:rsid w:val="00B55769"/>
    <w:rsid w:val="00B5642A"/>
    <w:rsid w:val="00B602E8"/>
    <w:rsid w:val="00B60C04"/>
    <w:rsid w:val="00B618FD"/>
    <w:rsid w:val="00B619C4"/>
    <w:rsid w:val="00B6385D"/>
    <w:rsid w:val="00B70689"/>
    <w:rsid w:val="00B70B9D"/>
    <w:rsid w:val="00B70F1E"/>
    <w:rsid w:val="00B714EC"/>
    <w:rsid w:val="00B71EA0"/>
    <w:rsid w:val="00B72608"/>
    <w:rsid w:val="00B73553"/>
    <w:rsid w:val="00B73847"/>
    <w:rsid w:val="00B74821"/>
    <w:rsid w:val="00B83B24"/>
    <w:rsid w:val="00B86F34"/>
    <w:rsid w:val="00B9007A"/>
    <w:rsid w:val="00B926B5"/>
    <w:rsid w:val="00B92DA4"/>
    <w:rsid w:val="00B932CD"/>
    <w:rsid w:val="00B9331C"/>
    <w:rsid w:val="00B93596"/>
    <w:rsid w:val="00B938A1"/>
    <w:rsid w:val="00B93C23"/>
    <w:rsid w:val="00B93D5B"/>
    <w:rsid w:val="00B94D02"/>
    <w:rsid w:val="00B95933"/>
    <w:rsid w:val="00B96516"/>
    <w:rsid w:val="00B96735"/>
    <w:rsid w:val="00B978B9"/>
    <w:rsid w:val="00BA0459"/>
    <w:rsid w:val="00BA161D"/>
    <w:rsid w:val="00BA2DFA"/>
    <w:rsid w:val="00BA390D"/>
    <w:rsid w:val="00BA4D9F"/>
    <w:rsid w:val="00BA53F5"/>
    <w:rsid w:val="00BA59CD"/>
    <w:rsid w:val="00BA59D7"/>
    <w:rsid w:val="00BA62A3"/>
    <w:rsid w:val="00BA6726"/>
    <w:rsid w:val="00BA6852"/>
    <w:rsid w:val="00BA7745"/>
    <w:rsid w:val="00BB0E94"/>
    <w:rsid w:val="00BB5813"/>
    <w:rsid w:val="00BB7E18"/>
    <w:rsid w:val="00BC01F9"/>
    <w:rsid w:val="00BC2DA4"/>
    <w:rsid w:val="00BC48FE"/>
    <w:rsid w:val="00BC5685"/>
    <w:rsid w:val="00BC772F"/>
    <w:rsid w:val="00BD07CE"/>
    <w:rsid w:val="00BD0D1B"/>
    <w:rsid w:val="00BD11CF"/>
    <w:rsid w:val="00BD23BE"/>
    <w:rsid w:val="00BD4A44"/>
    <w:rsid w:val="00BD6227"/>
    <w:rsid w:val="00BD62D4"/>
    <w:rsid w:val="00BD67A7"/>
    <w:rsid w:val="00BE0D92"/>
    <w:rsid w:val="00BE313C"/>
    <w:rsid w:val="00BE3C4C"/>
    <w:rsid w:val="00BE4AA4"/>
    <w:rsid w:val="00BE4C10"/>
    <w:rsid w:val="00BE56BD"/>
    <w:rsid w:val="00BE581B"/>
    <w:rsid w:val="00BE670C"/>
    <w:rsid w:val="00BF58DD"/>
    <w:rsid w:val="00BF75D9"/>
    <w:rsid w:val="00BF7A56"/>
    <w:rsid w:val="00C00788"/>
    <w:rsid w:val="00C01D16"/>
    <w:rsid w:val="00C04433"/>
    <w:rsid w:val="00C06306"/>
    <w:rsid w:val="00C06349"/>
    <w:rsid w:val="00C12424"/>
    <w:rsid w:val="00C12BAB"/>
    <w:rsid w:val="00C13A0F"/>
    <w:rsid w:val="00C144FA"/>
    <w:rsid w:val="00C1658E"/>
    <w:rsid w:val="00C174AF"/>
    <w:rsid w:val="00C245A7"/>
    <w:rsid w:val="00C322F2"/>
    <w:rsid w:val="00C32A4F"/>
    <w:rsid w:val="00C33225"/>
    <w:rsid w:val="00C34F65"/>
    <w:rsid w:val="00C364AD"/>
    <w:rsid w:val="00C36F59"/>
    <w:rsid w:val="00C4254A"/>
    <w:rsid w:val="00C464EB"/>
    <w:rsid w:val="00C46F0C"/>
    <w:rsid w:val="00C4708A"/>
    <w:rsid w:val="00C51511"/>
    <w:rsid w:val="00C5374C"/>
    <w:rsid w:val="00C54386"/>
    <w:rsid w:val="00C5455D"/>
    <w:rsid w:val="00C54780"/>
    <w:rsid w:val="00C54AD6"/>
    <w:rsid w:val="00C54B6F"/>
    <w:rsid w:val="00C57525"/>
    <w:rsid w:val="00C6143F"/>
    <w:rsid w:val="00C627C2"/>
    <w:rsid w:val="00C65D08"/>
    <w:rsid w:val="00C669B4"/>
    <w:rsid w:val="00C66A4D"/>
    <w:rsid w:val="00C70B68"/>
    <w:rsid w:val="00C75172"/>
    <w:rsid w:val="00C75A56"/>
    <w:rsid w:val="00C8189B"/>
    <w:rsid w:val="00C83DE1"/>
    <w:rsid w:val="00C84CDB"/>
    <w:rsid w:val="00C85DF3"/>
    <w:rsid w:val="00C861E2"/>
    <w:rsid w:val="00C86466"/>
    <w:rsid w:val="00C87C84"/>
    <w:rsid w:val="00C90C25"/>
    <w:rsid w:val="00C937D4"/>
    <w:rsid w:val="00C94AF5"/>
    <w:rsid w:val="00C95293"/>
    <w:rsid w:val="00CA0312"/>
    <w:rsid w:val="00CA0892"/>
    <w:rsid w:val="00CA0EFD"/>
    <w:rsid w:val="00CA26DE"/>
    <w:rsid w:val="00CA29ED"/>
    <w:rsid w:val="00CA32E3"/>
    <w:rsid w:val="00CA397C"/>
    <w:rsid w:val="00CA3A4A"/>
    <w:rsid w:val="00CA4AD5"/>
    <w:rsid w:val="00CA5D16"/>
    <w:rsid w:val="00CB0537"/>
    <w:rsid w:val="00CB08EE"/>
    <w:rsid w:val="00CB0988"/>
    <w:rsid w:val="00CB0FAA"/>
    <w:rsid w:val="00CB4036"/>
    <w:rsid w:val="00CB424E"/>
    <w:rsid w:val="00CB4CC1"/>
    <w:rsid w:val="00CB79CC"/>
    <w:rsid w:val="00CB79E9"/>
    <w:rsid w:val="00CB7C68"/>
    <w:rsid w:val="00CB7E5D"/>
    <w:rsid w:val="00CC0175"/>
    <w:rsid w:val="00CC037D"/>
    <w:rsid w:val="00CC38C7"/>
    <w:rsid w:val="00CC3988"/>
    <w:rsid w:val="00CC7E6E"/>
    <w:rsid w:val="00CD0443"/>
    <w:rsid w:val="00CD04B6"/>
    <w:rsid w:val="00CD10F3"/>
    <w:rsid w:val="00CD31BD"/>
    <w:rsid w:val="00CD354D"/>
    <w:rsid w:val="00CD4A98"/>
    <w:rsid w:val="00CD7142"/>
    <w:rsid w:val="00CE1090"/>
    <w:rsid w:val="00CE1C5A"/>
    <w:rsid w:val="00CE215C"/>
    <w:rsid w:val="00CE225E"/>
    <w:rsid w:val="00CF2573"/>
    <w:rsid w:val="00CF5DE3"/>
    <w:rsid w:val="00CF695B"/>
    <w:rsid w:val="00CF6D50"/>
    <w:rsid w:val="00D0196F"/>
    <w:rsid w:val="00D01AFC"/>
    <w:rsid w:val="00D01BCB"/>
    <w:rsid w:val="00D04971"/>
    <w:rsid w:val="00D05CB4"/>
    <w:rsid w:val="00D07C48"/>
    <w:rsid w:val="00D07D99"/>
    <w:rsid w:val="00D07FA7"/>
    <w:rsid w:val="00D10509"/>
    <w:rsid w:val="00D10D38"/>
    <w:rsid w:val="00D141F9"/>
    <w:rsid w:val="00D14491"/>
    <w:rsid w:val="00D158EA"/>
    <w:rsid w:val="00D17025"/>
    <w:rsid w:val="00D20315"/>
    <w:rsid w:val="00D213A4"/>
    <w:rsid w:val="00D21625"/>
    <w:rsid w:val="00D25201"/>
    <w:rsid w:val="00D25BB9"/>
    <w:rsid w:val="00D261D1"/>
    <w:rsid w:val="00D27EDC"/>
    <w:rsid w:val="00D3003E"/>
    <w:rsid w:val="00D3009F"/>
    <w:rsid w:val="00D31E89"/>
    <w:rsid w:val="00D32FFF"/>
    <w:rsid w:val="00D35D15"/>
    <w:rsid w:val="00D4051F"/>
    <w:rsid w:val="00D40FE5"/>
    <w:rsid w:val="00D450E3"/>
    <w:rsid w:val="00D46551"/>
    <w:rsid w:val="00D468E4"/>
    <w:rsid w:val="00D46D41"/>
    <w:rsid w:val="00D532EF"/>
    <w:rsid w:val="00D562A2"/>
    <w:rsid w:val="00D57F52"/>
    <w:rsid w:val="00D600E0"/>
    <w:rsid w:val="00D60F0F"/>
    <w:rsid w:val="00D657AF"/>
    <w:rsid w:val="00D65FBD"/>
    <w:rsid w:val="00D666A9"/>
    <w:rsid w:val="00D67502"/>
    <w:rsid w:val="00D67830"/>
    <w:rsid w:val="00D70268"/>
    <w:rsid w:val="00D72BCD"/>
    <w:rsid w:val="00D7377F"/>
    <w:rsid w:val="00D74EC3"/>
    <w:rsid w:val="00D75FF4"/>
    <w:rsid w:val="00D8160D"/>
    <w:rsid w:val="00D82167"/>
    <w:rsid w:val="00D8630D"/>
    <w:rsid w:val="00D8701E"/>
    <w:rsid w:val="00D9016E"/>
    <w:rsid w:val="00D92047"/>
    <w:rsid w:val="00D92AB2"/>
    <w:rsid w:val="00D94229"/>
    <w:rsid w:val="00D944EF"/>
    <w:rsid w:val="00D96D6B"/>
    <w:rsid w:val="00DA0317"/>
    <w:rsid w:val="00DA05E7"/>
    <w:rsid w:val="00DA18CC"/>
    <w:rsid w:val="00DA1A56"/>
    <w:rsid w:val="00DA6433"/>
    <w:rsid w:val="00DB0741"/>
    <w:rsid w:val="00DB0EE1"/>
    <w:rsid w:val="00DB1C95"/>
    <w:rsid w:val="00DB2C70"/>
    <w:rsid w:val="00DB35C3"/>
    <w:rsid w:val="00DB3D01"/>
    <w:rsid w:val="00DB4A82"/>
    <w:rsid w:val="00DC0E3E"/>
    <w:rsid w:val="00DC18D0"/>
    <w:rsid w:val="00DC31A0"/>
    <w:rsid w:val="00DC4E98"/>
    <w:rsid w:val="00DC528E"/>
    <w:rsid w:val="00DC5F2A"/>
    <w:rsid w:val="00DC7EB9"/>
    <w:rsid w:val="00DD0549"/>
    <w:rsid w:val="00DD0CCF"/>
    <w:rsid w:val="00DD0DB2"/>
    <w:rsid w:val="00DD1505"/>
    <w:rsid w:val="00DD1B6B"/>
    <w:rsid w:val="00DD1FE6"/>
    <w:rsid w:val="00DD2D02"/>
    <w:rsid w:val="00DD4042"/>
    <w:rsid w:val="00DD56F1"/>
    <w:rsid w:val="00DD6DD9"/>
    <w:rsid w:val="00DD7945"/>
    <w:rsid w:val="00DE134B"/>
    <w:rsid w:val="00DE405B"/>
    <w:rsid w:val="00DE4834"/>
    <w:rsid w:val="00DE5631"/>
    <w:rsid w:val="00DE5845"/>
    <w:rsid w:val="00DE7857"/>
    <w:rsid w:val="00DF5968"/>
    <w:rsid w:val="00DF73AD"/>
    <w:rsid w:val="00DF7E75"/>
    <w:rsid w:val="00E005AD"/>
    <w:rsid w:val="00E00828"/>
    <w:rsid w:val="00E00AB7"/>
    <w:rsid w:val="00E0208B"/>
    <w:rsid w:val="00E0269E"/>
    <w:rsid w:val="00E04388"/>
    <w:rsid w:val="00E05404"/>
    <w:rsid w:val="00E05807"/>
    <w:rsid w:val="00E06197"/>
    <w:rsid w:val="00E11D36"/>
    <w:rsid w:val="00E123D1"/>
    <w:rsid w:val="00E125AF"/>
    <w:rsid w:val="00E126E0"/>
    <w:rsid w:val="00E12EEF"/>
    <w:rsid w:val="00E15CE7"/>
    <w:rsid w:val="00E173C4"/>
    <w:rsid w:val="00E2029B"/>
    <w:rsid w:val="00E203CB"/>
    <w:rsid w:val="00E22BF5"/>
    <w:rsid w:val="00E23B77"/>
    <w:rsid w:val="00E23D4A"/>
    <w:rsid w:val="00E242E9"/>
    <w:rsid w:val="00E24498"/>
    <w:rsid w:val="00E25DEF"/>
    <w:rsid w:val="00E2605F"/>
    <w:rsid w:val="00E27D9F"/>
    <w:rsid w:val="00E300DC"/>
    <w:rsid w:val="00E31B08"/>
    <w:rsid w:val="00E327CE"/>
    <w:rsid w:val="00E32DE6"/>
    <w:rsid w:val="00E32E43"/>
    <w:rsid w:val="00E3704B"/>
    <w:rsid w:val="00E3737D"/>
    <w:rsid w:val="00E409E0"/>
    <w:rsid w:val="00E419FC"/>
    <w:rsid w:val="00E444C8"/>
    <w:rsid w:val="00E4523C"/>
    <w:rsid w:val="00E46AA4"/>
    <w:rsid w:val="00E52DF8"/>
    <w:rsid w:val="00E5340C"/>
    <w:rsid w:val="00E55EBC"/>
    <w:rsid w:val="00E56B16"/>
    <w:rsid w:val="00E609B0"/>
    <w:rsid w:val="00E62982"/>
    <w:rsid w:val="00E62C94"/>
    <w:rsid w:val="00E7035D"/>
    <w:rsid w:val="00E72124"/>
    <w:rsid w:val="00E72FD1"/>
    <w:rsid w:val="00E7525E"/>
    <w:rsid w:val="00E75697"/>
    <w:rsid w:val="00E76193"/>
    <w:rsid w:val="00E772BB"/>
    <w:rsid w:val="00E77A73"/>
    <w:rsid w:val="00E801AE"/>
    <w:rsid w:val="00E81469"/>
    <w:rsid w:val="00E82562"/>
    <w:rsid w:val="00E85A75"/>
    <w:rsid w:val="00E86141"/>
    <w:rsid w:val="00E87F04"/>
    <w:rsid w:val="00E9084A"/>
    <w:rsid w:val="00E920DE"/>
    <w:rsid w:val="00E9214C"/>
    <w:rsid w:val="00E96532"/>
    <w:rsid w:val="00E9667E"/>
    <w:rsid w:val="00E97E86"/>
    <w:rsid w:val="00EA08DC"/>
    <w:rsid w:val="00EA0C76"/>
    <w:rsid w:val="00EA12BB"/>
    <w:rsid w:val="00EA45A4"/>
    <w:rsid w:val="00EA463B"/>
    <w:rsid w:val="00EB5711"/>
    <w:rsid w:val="00EB613F"/>
    <w:rsid w:val="00EB6E13"/>
    <w:rsid w:val="00EB78C5"/>
    <w:rsid w:val="00EC260B"/>
    <w:rsid w:val="00EC40E6"/>
    <w:rsid w:val="00EC6CD7"/>
    <w:rsid w:val="00ED085C"/>
    <w:rsid w:val="00ED3B8A"/>
    <w:rsid w:val="00ED64EE"/>
    <w:rsid w:val="00EE05DC"/>
    <w:rsid w:val="00EE17C1"/>
    <w:rsid w:val="00EE2375"/>
    <w:rsid w:val="00EE478E"/>
    <w:rsid w:val="00EE4FA2"/>
    <w:rsid w:val="00EE5028"/>
    <w:rsid w:val="00EE6282"/>
    <w:rsid w:val="00EF0475"/>
    <w:rsid w:val="00EF1B9B"/>
    <w:rsid w:val="00F02952"/>
    <w:rsid w:val="00F02AC0"/>
    <w:rsid w:val="00F04009"/>
    <w:rsid w:val="00F05B73"/>
    <w:rsid w:val="00F0603E"/>
    <w:rsid w:val="00F069C5"/>
    <w:rsid w:val="00F06EE5"/>
    <w:rsid w:val="00F0767B"/>
    <w:rsid w:val="00F07C6C"/>
    <w:rsid w:val="00F11744"/>
    <w:rsid w:val="00F11B56"/>
    <w:rsid w:val="00F1261D"/>
    <w:rsid w:val="00F12BD9"/>
    <w:rsid w:val="00F13134"/>
    <w:rsid w:val="00F147A8"/>
    <w:rsid w:val="00F15149"/>
    <w:rsid w:val="00F152EA"/>
    <w:rsid w:val="00F16DD0"/>
    <w:rsid w:val="00F20B8E"/>
    <w:rsid w:val="00F20DF2"/>
    <w:rsid w:val="00F2343D"/>
    <w:rsid w:val="00F25888"/>
    <w:rsid w:val="00F26081"/>
    <w:rsid w:val="00F26C17"/>
    <w:rsid w:val="00F35001"/>
    <w:rsid w:val="00F37BE2"/>
    <w:rsid w:val="00F40F1D"/>
    <w:rsid w:val="00F41586"/>
    <w:rsid w:val="00F41E88"/>
    <w:rsid w:val="00F425F3"/>
    <w:rsid w:val="00F4570B"/>
    <w:rsid w:val="00F46AAC"/>
    <w:rsid w:val="00F501D3"/>
    <w:rsid w:val="00F51F3D"/>
    <w:rsid w:val="00F535B9"/>
    <w:rsid w:val="00F5483A"/>
    <w:rsid w:val="00F5750B"/>
    <w:rsid w:val="00F5770A"/>
    <w:rsid w:val="00F6076F"/>
    <w:rsid w:val="00F61747"/>
    <w:rsid w:val="00F6426D"/>
    <w:rsid w:val="00F647E3"/>
    <w:rsid w:val="00F66B6F"/>
    <w:rsid w:val="00F66C6B"/>
    <w:rsid w:val="00F7181A"/>
    <w:rsid w:val="00F737E4"/>
    <w:rsid w:val="00F745BC"/>
    <w:rsid w:val="00F745F7"/>
    <w:rsid w:val="00F74C4D"/>
    <w:rsid w:val="00F752D5"/>
    <w:rsid w:val="00F769C7"/>
    <w:rsid w:val="00F76CE0"/>
    <w:rsid w:val="00F76D14"/>
    <w:rsid w:val="00F7795C"/>
    <w:rsid w:val="00F77FDC"/>
    <w:rsid w:val="00F800E5"/>
    <w:rsid w:val="00F80F3F"/>
    <w:rsid w:val="00F83864"/>
    <w:rsid w:val="00F84036"/>
    <w:rsid w:val="00F84313"/>
    <w:rsid w:val="00F84412"/>
    <w:rsid w:val="00F90573"/>
    <w:rsid w:val="00F9223F"/>
    <w:rsid w:val="00F92A16"/>
    <w:rsid w:val="00F93990"/>
    <w:rsid w:val="00F9414E"/>
    <w:rsid w:val="00F9573E"/>
    <w:rsid w:val="00FA00BC"/>
    <w:rsid w:val="00FA076D"/>
    <w:rsid w:val="00FA0ECB"/>
    <w:rsid w:val="00FA327C"/>
    <w:rsid w:val="00FA3FDC"/>
    <w:rsid w:val="00FA5EC7"/>
    <w:rsid w:val="00FA7C02"/>
    <w:rsid w:val="00FB0FA3"/>
    <w:rsid w:val="00FB1817"/>
    <w:rsid w:val="00FB37F0"/>
    <w:rsid w:val="00FB4726"/>
    <w:rsid w:val="00FB6182"/>
    <w:rsid w:val="00FC0081"/>
    <w:rsid w:val="00FC301A"/>
    <w:rsid w:val="00FC570E"/>
    <w:rsid w:val="00FC6A5C"/>
    <w:rsid w:val="00FC6F54"/>
    <w:rsid w:val="00FC7505"/>
    <w:rsid w:val="00FD3910"/>
    <w:rsid w:val="00FD3C61"/>
    <w:rsid w:val="00FD3F76"/>
    <w:rsid w:val="00FD5D15"/>
    <w:rsid w:val="00FD5E6E"/>
    <w:rsid w:val="00FD67D0"/>
    <w:rsid w:val="00FD7365"/>
    <w:rsid w:val="00FE064A"/>
    <w:rsid w:val="00FE204D"/>
    <w:rsid w:val="00FE3994"/>
    <w:rsid w:val="00FE4EC5"/>
    <w:rsid w:val="00FE7F52"/>
    <w:rsid w:val="00FF0C74"/>
    <w:rsid w:val="00FF352E"/>
    <w:rsid w:val="00FF43AC"/>
    <w:rsid w:val="00FF4A4D"/>
    <w:rsid w:val="00FF5486"/>
    <w:rsid w:val="00FF5B7E"/>
    <w:rsid w:val="00FF6854"/>
    <w:rsid w:val="00FF6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837199"/>
  <w15:docId w15:val="{618A0AE6-0D33-48FA-8F74-385093B1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21E"/>
    <w:rPr>
      <w:sz w:val="24"/>
      <w:szCs w:val="24"/>
    </w:rPr>
  </w:style>
  <w:style w:type="paragraph" w:styleId="1">
    <w:name w:val="heading 1"/>
    <w:basedOn w:val="a"/>
    <w:link w:val="10"/>
    <w:uiPriority w:val="99"/>
    <w:qFormat/>
    <w:rsid w:val="00E609B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609B0"/>
    <w:rPr>
      <w:rFonts w:cs="Times New Roman"/>
      <w:b/>
      <w:bCs/>
      <w:kern w:val="36"/>
      <w:sz w:val="48"/>
      <w:szCs w:val="48"/>
    </w:rPr>
  </w:style>
  <w:style w:type="paragraph" w:customStyle="1" w:styleId="ConsPlusNonformat">
    <w:name w:val="ConsPlusNonformat"/>
    <w:uiPriority w:val="99"/>
    <w:rsid w:val="00BD4A44"/>
    <w:pPr>
      <w:widowControl w:val="0"/>
      <w:autoSpaceDE w:val="0"/>
      <w:autoSpaceDN w:val="0"/>
      <w:adjustRightInd w:val="0"/>
    </w:pPr>
    <w:rPr>
      <w:rFonts w:ascii="Courier New" w:hAnsi="Courier New" w:cs="Courier New"/>
    </w:rPr>
  </w:style>
  <w:style w:type="paragraph" w:customStyle="1" w:styleId="ConsPlusNormal">
    <w:name w:val="ConsPlusNormal"/>
    <w:uiPriority w:val="99"/>
    <w:rsid w:val="002B4545"/>
    <w:pPr>
      <w:widowControl w:val="0"/>
      <w:autoSpaceDE w:val="0"/>
      <w:autoSpaceDN w:val="0"/>
      <w:adjustRightInd w:val="0"/>
      <w:ind w:firstLine="720"/>
    </w:pPr>
    <w:rPr>
      <w:rFonts w:ascii="Arial" w:hAnsi="Arial" w:cs="Arial"/>
    </w:rPr>
  </w:style>
  <w:style w:type="paragraph" w:styleId="a3">
    <w:name w:val="header"/>
    <w:basedOn w:val="a"/>
    <w:link w:val="a4"/>
    <w:uiPriority w:val="99"/>
    <w:rsid w:val="00A91125"/>
    <w:pPr>
      <w:tabs>
        <w:tab w:val="center" w:pos="4677"/>
        <w:tab w:val="right" w:pos="9355"/>
      </w:tabs>
    </w:pPr>
  </w:style>
  <w:style w:type="character" w:customStyle="1" w:styleId="a4">
    <w:name w:val="Верхний колонтитул Знак"/>
    <w:basedOn w:val="a0"/>
    <w:link w:val="a3"/>
    <w:uiPriority w:val="99"/>
    <w:semiHidden/>
    <w:rsid w:val="003B5D7A"/>
    <w:rPr>
      <w:sz w:val="24"/>
      <w:szCs w:val="24"/>
    </w:rPr>
  </w:style>
  <w:style w:type="character" w:styleId="a5">
    <w:name w:val="page number"/>
    <w:basedOn w:val="a0"/>
    <w:uiPriority w:val="99"/>
    <w:rsid w:val="00A91125"/>
    <w:rPr>
      <w:rFonts w:cs="Times New Roman"/>
    </w:rPr>
  </w:style>
  <w:style w:type="paragraph" w:customStyle="1" w:styleId="11">
    <w:name w:val="Знак1"/>
    <w:basedOn w:val="a"/>
    <w:uiPriority w:val="99"/>
    <w:rsid w:val="009A46F9"/>
    <w:pPr>
      <w:spacing w:before="100" w:beforeAutospacing="1" w:after="100" w:afterAutospacing="1"/>
    </w:pPr>
    <w:rPr>
      <w:rFonts w:ascii="Tahoma" w:hAnsi="Tahoma"/>
      <w:sz w:val="20"/>
      <w:szCs w:val="20"/>
      <w:lang w:val="en-US" w:eastAsia="en-US"/>
    </w:rPr>
  </w:style>
  <w:style w:type="paragraph" w:styleId="a6">
    <w:name w:val="footer"/>
    <w:basedOn w:val="a"/>
    <w:link w:val="a7"/>
    <w:uiPriority w:val="99"/>
    <w:rsid w:val="0017359C"/>
    <w:pPr>
      <w:tabs>
        <w:tab w:val="center" w:pos="4677"/>
        <w:tab w:val="right" w:pos="9355"/>
      </w:tabs>
    </w:pPr>
  </w:style>
  <w:style w:type="character" w:customStyle="1" w:styleId="a7">
    <w:name w:val="Нижний колонтитул Знак"/>
    <w:basedOn w:val="a0"/>
    <w:link w:val="a6"/>
    <w:uiPriority w:val="99"/>
    <w:locked/>
    <w:rsid w:val="00231336"/>
    <w:rPr>
      <w:rFonts w:cs="Times New Roman"/>
      <w:sz w:val="24"/>
      <w:szCs w:val="24"/>
    </w:rPr>
  </w:style>
  <w:style w:type="paragraph" w:customStyle="1" w:styleId="110">
    <w:name w:val="Знак11"/>
    <w:basedOn w:val="a"/>
    <w:uiPriority w:val="99"/>
    <w:rsid w:val="006C19AD"/>
    <w:pPr>
      <w:spacing w:after="160" w:line="240" w:lineRule="exact"/>
    </w:pPr>
    <w:rPr>
      <w:rFonts w:ascii="Verdana" w:hAnsi="Verdana" w:cs="Verdana"/>
      <w:sz w:val="20"/>
      <w:szCs w:val="20"/>
      <w:lang w:val="en-US" w:eastAsia="en-US"/>
    </w:rPr>
  </w:style>
  <w:style w:type="paragraph" w:styleId="a8">
    <w:name w:val="footnote text"/>
    <w:basedOn w:val="a"/>
    <w:link w:val="a9"/>
    <w:uiPriority w:val="99"/>
    <w:semiHidden/>
    <w:rsid w:val="00C8189B"/>
    <w:rPr>
      <w:sz w:val="20"/>
      <w:szCs w:val="20"/>
    </w:rPr>
  </w:style>
  <w:style w:type="character" w:customStyle="1" w:styleId="a9">
    <w:name w:val="Текст сноски Знак"/>
    <w:basedOn w:val="a0"/>
    <w:link w:val="a8"/>
    <w:uiPriority w:val="99"/>
    <w:semiHidden/>
    <w:rsid w:val="003B5D7A"/>
    <w:rPr>
      <w:sz w:val="20"/>
      <w:szCs w:val="20"/>
    </w:rPr>
  </w:style>
  <w:style w:type="character" w:styleId="aa">
    <w:name w:val="footnote reference"/>
    <w:basedOn w:val="a0"/>
    <w:uiPriority w:val="99"/>
    <w:semiHidden/>
    <w:rsid w:val="00C8189B"/>
    <w:rPr>
      <w:rFonts w:cs="Times New Roman"/>
      <w:vertAlign w:val="superscript"/>
    </w:rPr>
  </w:style>
  <w:style w:type="paragraph" w:styleId="ab">
    <w:name w:val="Balloon Text"/>
    <w:basedOn w:val="a"/>
    <w:link w:val="ac"/>
    <w:uiPriority w:val="99"/>
    <w:semiHidden/>
    <w:rsid w:val="00D65FBD"/>
    <w:rPr>
      <w:rFonts w:ascii="Tahoma" w:hAnsi="Tahoma" w:cs="Tahoma"/>
      <w:sz w:val="16"/>
      <w:szCs w:val="16"/>
    </w:rPr>
  </w:style>
  <w:style w:type="character" w:customStyle="1" w:styleId="ac">
    <w:name w:val="Текст выноски Знак"/>
    <w:basedOn w:val="a0"/>
    <w:link w:val="ab"/>
    <w:uiPriority w:val="99"/>
    <w:semiHidden/>
    <w:rsid w:val="003B5D7A"/>
    <w:rPr>
      <w:sz w:val="0"/>
      <w:szCs w:val="0"/>
    </w:rPr>
  </w:style>
  <w:style w:type="character" w:styleId="ad">
    <w:name w:val="Hyperlink"/>
    <w:basedOn w:val="a0"/>
    <w:uiPriority w:val="99"/>
    <w:rsid w:val="00BA6726"/>
    <w:rPr>
      <w:rFonts w:cs="Times New Roman"/>
      <w:color w:val="0000FF"/>
      <w:u w:val="single"/>
    </w:rPr>
  </w:style>
  <w:style w:type="paragraph" w:customStyle="1" w:styleId="ConsPlusTitle">
    <w:name w:val="ConsPlusTitle"/>
    <w:uiPriority w:val="99"/>
    <w:rsid w:val="00B6385D"/>
    <w:pPr>
      <w:widowControl w:val="0"/>
      <w:autoSpaceDE w:val="0"/>
      <w:autoSpaceDN w:val="0"/>
      <w:adjustRightInd w:val="0"/>
    </w:pPr>
    <w:rPr>
      <w:rFonts w:ascii="Arial" w:hAnsi="Arial" w:cs="Arial"/>
      <w:b/>
      <w:bCs/>
    </w:rPr>
  </w:style>
  <w:style w:type="paragraph" w:customStyle="1" w:styleId="31">
    <w:name w:val="Основной текст с отступом 31"/>
    <w:basedOn w:val="a"/>
    <w:uiPriority w:val="99"/>
    <w:rsid w:val="00197C5E"/>
    <w:pPr>
      <w:suppressAutoHyphens/>
      <w:spacing w:after="120"/>
      <w:ind w:left="283"/>
    </w:pPr>
    <w:rPr>
      <w:sz w:val="16"/>
      <w:szCs w:val="16"/>
      <w:lang w:eastAsia="ar-SA"/>
    </w:rPr>
  </w:style>
  <w:style w:type="paragraph" w:styleId="ae">
    <w:name w:val="Body Text Indent"/>
    <w:basedOn w:val="a"/>
    <w:link w:val="af"/>
    <w:uiPriority w:val="99"/>
    <w:rsid w:val="00197C5E"/>
    <w:pPr>
      <w:tabs>
        <w:tab w:val="left" w:pos="10206"/>
      </w:tabs>
      <w:suppressAutoHyphens/>
      <w:ind w:firstLine="567"/>
      <w:jc w:val="both"/>
    </w:pPr>
    <w:rPr>
      <w:sz w:val="28"/>
      <w:szCs w:val="20"/>
      <w:lang w:eastAsia="ar-SA"/>
    </w:rPr>
  </w:style>
  <w:style w:type="character" w:customStyle="1" w:styleId="af">
    <w:name w:val="Основной текст с отступом Знак"/>
    <w:basedOn w:val="a0"/>
    <w:link w:val="ae"/>
    <w:uiPriority w:val="99"/>
    <w:locked/>
    <w:rsid w:val="00197C5E"/>
    <w:rPr>
      <w:sz w:val="28"/>
      <w:lang w:eastAsia="ar-SA" w:bidi="ar-SA"/>
    </w:rPr>
  </w:style>
  <w:style w:type="paragraph" w:styleId="af0">
    <w:name w:val="Normal (Web)"/>
    <w:basedOn w:val="a"/>
    <w:uiPriority w:val="99"/>
    <w:rsid w:val="005D0BED"/>
    <w:pPr>
      <w:spacing w:before="100" w:beforeAutospacing="1" w:after="119"/>
    </w:pPr>
  </w:style>
  <w:style w:type="paragraph" w:styleId="af1">
    <w:name w:val="endnote text"/>
    <w:basedOn w:val="a"/>
    <w:link w:val="af2"/>
    <w:uiPriority w:val="99"/>
    <w:rsid w:val="00E27D9F"/>
    <w:rPr>
      <w:sz w:val="20"/>
      <w:szCs w:val="20"/>
    </w:rPr>
  </w:style>
  <w:style w:type="character" w:customStyle="1" w:styleId="af2">
    <w:name w:val="Текст концевой сноски Знак"/>
    <w:basedOn w:val="a0"/>
    <w:link w:val="af1"/>
    <w:uiPriority w:val="99"/>
    <w:locked/>
    <w:rsid w:val="00E27D9F"/>
    <w:rPr>
      <w:rFonts w:cs="Times New Roman"/>
    </w:rPr>
  </w:style>
  <w:style w:type="character" w:styleId="af3">
    <w:name w:val="endnote reference"/>
    <w:basedOn w:val="a0"/>
    <w:uiPriority w:val="99"/>
    <w:rsid w:val="00E27D9F"/>
    <w:rPr>
      <w:rFonts w:cs="Times New Roman"/>
      <w:vertAlign w:val="superscript"/>
    </w:rPr>
  </w:style>
  <w:style w:type="paragraph" w:styleId="af4">
    <w:name w:val="List Paragraph"/>
    <w:basedOn w:val="a"/>
    <w:uiPriority w:val="99"/>
    <w:qFormat/>
    <w:rsid w:val="007F5C56"/>
    <w:pPr>
      <w:ind w:left="720"/>
      <w:contextualSpacing/>
    </w:pPr>
  </w:style>
  <w:style w:type="paragraph" w:customStyle="1" w:styleId="af5">
    <w:name w:val="Знак Знак Знак Знак Знак Знак Знак Знак Знак Знак Знак Знак Знак Знак Знак Знак Знак Знак Знак Знак"/>
    <w:basedOn w:val="a"/>
    <w:uiPriority w:val="99"/>
    <w:rsid w:val="0070661E"/>
    <w:pPr>
      <w:spacing w:after="160" w:line="240" w:lineRule="exact"/>
    </w:pPr>
    <w:rPr>
      <w:rFonts w:ascii="Verdana" w:hAnsi="Verdana" w:cs="Verdana"/>
      <w:sz w:val="20"/>
      <w:szCs w:val="20"/>
      <w:lang w:val="en-US" w:eastAsia="en-US"/>
    </w:rPr>
  </w:style>
  <w:style w:type="paragraph" w:styleId="2">
    <w:name w:val="Body Text 2"/>
    <w:basedOn w:val="a"/>
    <w:link w:val="20"/>
    <w:uiPriority w:val="99"/>
    <w:rsid w:val="00B51A70"/>
    <w:pPr>
      <w:spacing w:after="120" w:line="480" w:lineRule="auto"/>
    </w:pPr>
  </w:style>
  <w:style w:type="character" w:customStyle="1" w:styleId="20">
    <w:name w:val="Основной текст 2 Знак"/>
    <w:basedOn w:val="a0"/>
    <w:link w:val="2"/>
    <w:uiPriority w:val="99"/>
    <w:locked/>
    <w:rsid w:val="00B51A70"/>
    <w:rPr>
      <w:rFonts w:cs="Times New Roman"/>
      <w:sz w:val="24"/>
      <w:szCs w:val="24"/>
    </w:rPr>
  </w:style>
  <w:style w:type="paragraph" w:customStyle="1" w:styleId="Default">
    <w:name w:val="Default"/>
    <w:uiPriority w:val="99"/>
    <w:rsid w:val="007F15E4"/>
    <w:pPr>
      <w:autoSpaceDE w:val="0"/>
      <w:autoSpaceDN w:val="0"/>
      <w:adjustRightInd w:val="0"/>
    </w:pPr>
    <w:rPr>
      <w:rFonts w:ascii="Arial" w:hAnsi="Arial" w:cs="Arial"/>
      <w:color w:val="000000"/>
      <w:sz w:val="24"/>
      <w:szCs w:val="24"/>
    </w:rPr>
  </w:style>
  <w:style w:type="paragraph" w:styleId="af6">
    <w:name w:val="TOC Heading"/>
    <w:basedOn w:val="1"/>
    <w:next w:val="a"/>
    <w:uiPriority w:val="39"/>
    <w:unhideWhenUsed/>
    <w:qFormat/>
    <w:rsid w:val="00A22F3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
    <w:next w:val="a"/>
    <w:autoRedefine/>
    <w:uiPriority w:val="39"/>
    <w:unhideWhenUsed/>
    <w:rsid w:val="00A22F35"/>
    <w:pPr>
      <w:spacing w:after="100"/>
    </w:pPr>
  </w:style>
  <w:style w:type="character" w:styleId="af7">
    <w:name w:val="annotation reference"/>
    <w:basedOn w:val="a0"/>
    <w:uiPriority w:val="99"/>
    <w:semiHidden/>
    <w:unhideWhenUsed/>
    <w:rsid w:val="004C5D50"/>
    <w:rPr>
      <w:sz w:val="16"/>
      <w:szCs w:val="16"/>
    </w:rPr>
  </w:style>
  <w:style w:type="paragraph" w:styleId="af8">
    <w:name w:val="annotation text"/>
    <w:basedOn w:val="a"/>
    <w:link w:val="af9"/>
    <w:uiPriority w:val="99"/>
    <w:semiHidden/>
    <w:unhideWhenUsed/>
    <w:rsid w:val="004C5D50"/>
    <w:rPr>
      <w:sz w:val="20"/>
      <w:szCs w:val="20"/>
    </w:rPr>
  </w:style>
  <w:style w:type="character" w:customStyle="1" w:styleId="af9">
    <w:name w:val="Текст примечания Знак"/>
    <w:basedOn w:val="a0"/>
    <w:link w:val="af8"/>
    <w:uiPriority w:val="99"/>
    <w:semiHidden/>
    <w:rsid w:val="004C5D50"/>
  </w:style>
  <w:style w:type="paragraph" w:styleId="afa">
    <w:name w:val="annotation subject"/>
    <w:basedOn w:val="af8"/>
    <w:next w:val="af8"/>
    <w:link w:val="afb"/>
    <w:uiPriority w:val="99"/>
    <w:semiHidden/>
    <w:unhideWhenUsed/>
    <w:rsid w:val="004C5D50"/>
    <w:rPr>
      <w:b/>
      <w:bCs/>
    </w:rPr>
  </w:style>
  <w:style w:type="character" w:customStyle="1" w:styleId="afb">
    <w:name w:val="Тема примечания Знак"/>
    <w:basedOn w:val="af9"/>
    <w:link w:val="afa"/>
    <w:uiPriority w:val="99"/>
    <w:semiHidden/>
    <w:rsid w:val="004C5D50"/>
    <w:rPr>
      <w:b/>
      <w:bCs/>
    </w:rPr>
  </w:style>
  <w:style w:type="table" w:styleId="afc">
    <w:name w:val="Table Grid"/>
    <w:basedOn w:val="a1"/>
    <w:uiPriority w:val="59"/>
    <w:rsid w:val="007855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368799">
      <w:bodyDiv w:val="1"/>
      <w:marLeft w:val="0"/>
      <w:marRight w:val="0"/>
      <w:marTop w:val="0"/>
      <w:marBottom w:val="0"/>
      <w:divBdr>
        <w:top w:val="none" w:sz="0" w:space="0" w:color="auto"/>
        <w:left w:val="none" w:sz="0" w:space="0" w:color="auto"/>
        <w:bottom w:val="none" w:sz="0" w:space="0" w:color="auto"/>
        <w:right w:val="none" w:sz="0" w:space="0" w:color="auto"/>
      </w:divBdr>
    </w:div>
    <w:div w:id="1237058993">
      <w:bodyDiv w:val="1"/>
      <w:marLeft w:val="0"/>
      <w:marRight w:val="0"/>
      <w:marTop w:val="0"/>
      <w:marBottom w:val="0"/>
      <w:divBdr>
        <w:top w:val="none" w:sz="0" w:space="0" w:color="auto"/>
        <w:left w:val="none" w:sz="0" w:space="0" w:color="auto"/>
        <w:bottom w:val="none" w:sz="0" w:space="0" w:color="auto"/>
        <w:right w:val="none" w:sz="0" w:space="0" w:color="auto"/>
      </w:divBdr>
    </w:div>
    <w:div w:id="1664553238">
      <w:marLeft w:val="0"/>
      <w:marRight w:val="0"/>
      <w:marTop w:val="0"/>
      <w:marBottom w:val="0"/>
      <w:divBdr>
        <w:top w:val="none" w:sz="0" w:space="0" w:color="auto"/>
        <w:left w:val="none" w:sz="0" w:space="0" w:color="auto"/>
        <w:bottom w:val="none" w:sz="0" w:space="0" w:color="auto"/>
        <w:right w:val="none" w:sz="0" w:space="0" w:color="auto"/>
      </w:divBdr>
      <w:divsChild>
        <w:div w:id="1664553250">
          <w:marLeft w:val="0"/>
          <w:marRight w:val="0"/>
          <w:marTop w:val="0"/>
          <w:marBottom w:val="0"/>
          <w:divBdr>
            <w:top w:val="none" w:sz="0" w:space="0" w:color="auto"/>
            <w:left w:val="none" w:sz="0" w:space="0" w:color="auto"/>
            <w:bottom w:val="none" w:sz="0" w:space="0" w:color="auto"/>
            <w:right w:val="none" w:sz="0" w:space="0" w:color="auto"/>
          </w:divBdr>
        </w:div>
        <w:div w:id="1664553257">
          <w:marLeft w:val="0"/>
          <w:marRight w:val="0"/>
          <w:marTop w:val="0"/>
          <w:marBottom w:val="0"/>
          <w:divBdr>
            <w:top w:val="none" w:sz="0" w:space="0" w:color="auto"/>
            <w:left w:val="none" w:sz="0" w:space="0" w:color="auto"/>
            <w:bottom w:val="none" w:sz="0" w:space="0" w:color="auto"/>
            <w:right w:val="none" w:sz="0" w:space="0" w:color="auto"/>
          </w:divBdr>
        </w:div>
        <w:div w:id="1664553261">
          <w:marLeft w:val="0"/>
          <w:marRight w:val="0"/>
          <w:marTop w:val="0"/>
          <w:marBottom w:val="0"/>
          <w:divBdr>
            <w:top w:val="none" w:sz="0" w:space="0" w:color="auto"/>
            <w:left w:val="none" w:sz="0" w:space="0" w:color="auto"/>
            <w:bottom w:val="none" w:sz="0" w:space="0" w:color="auto"/>
            <w:right w:val="none" w:sz="0" w:space="0" w:color="auto"/>
          </w:divBdr>
        </w:div>
      </w:divsChild>
    </w:div>
    <w:div w:id="1664553240">
      <w:marLeft w:val="0"/>
      <w:marRight w:val="0"/>
      <w:marTop w:val="0"/>
      <w:marBottom w:val="0"/>
      <w:divBdr>
        <w:top w:val="none" w:sz="0" w:space="0" w:color="auto"/>
        <w:left w:val="none" w:sz="0" w:space="0" w:color="auto"/>
        <w:bottom w:val="none" w:sz="0" w:space="0" w:color="auto"/>
        <w:right w:val="none" w:sz="0" w:space="0" w:color="auto"/>
      </w:divBdr>
    </w:div>
    <w:div w:id="1664553243">
      <w:marLeft w:val="0"/>
      <w:marRight w:val="0"/>
      <w:marTop w:val="0"/>
      <w:marBottom w:val="0"/>
      <w:divBdr>
        <w:top w:val="none" w:sz="0" w:space="0" w:color="auto"/>
        <w:left w:val="none" w:sz="0" w:space="0" w:color="auto"/>
        <w:bottom w:val="none" w:sz="0" w:space="0" w:color="auto"/>
        <w:right w:val="none" w:sz="0" w:space="0" w:color="auto"/>
      </w:divBdr>
      <w:divsChild>
        <w:div w:id="1664553237">
          <w:marLeft w:val="0"/>
          <w:marRight w:val="0"/>
          <w:marTop w:val="0"/>
          <w:marBottom w:val="0"/>
          <w:divBdr>
            <w:top w:val="none" w:sz="0" w:space="0" w:color="auto"/>
            <w:left w:val="none" w:sz="0" w:space="0" w:color="auto"/>
            <w:bottom w:val="none" w:sz="0" w:space="0" w:color="auto"/>
            <w:right w:val="none" w:sz="0" w:space="0" w:color="auto"/>
          </w:divBdr>
          <w:divsChild>
            <w:div w:id="1664553260">
              <w:marLeft w:val="0"/>
              <w:marRight w:val="0"/>
              <w:marTop w:val="0"/>
              <w:marBottom w:val="0"/>
              <w:divBdr>
                <w:top w:val="none" w:sz="0" w:space="0" w:color="auto"/>
                <w:left w:val="none" w:sz="0" w:space="0" w:color="auto"/>
                <w:bottom w:val="none" w:sz="0" w:space="0" w:color="auto"/>
                <w:right w:val="none" w:sz="0" w:space="0" w:color="auto"/>
              </w:divBdr>
            </w:div>
          </w:divsChild>
        </w:div>
        <w:div w:id="1664553244">
          <w:marLeft w:val="0"/>
          <w:marRight w:val="0"/>
          <w:marTop w:val="0"/>
          <w:marBottom w:val="0"/>
          <w:divBdr>
            <w:top w:val="none" w:sz="0" w:space="0" w:color="auto"/>
            <w:left w:val="none" w:sz="0" w:space="0" w:color="auto"/>
            <w:bottom w:val="none" w:sz="0" w:space="0" w:color="auto"/>
            <w:right w:val="none" w:sz="0" w:space="0" w:color="auto"/>
          </w:divBdr>
          <w:divsChild>
            <w:div w:id="1664553239">
              <w:marLeft w:val="0"/>
              <w:marRight w:val="0"/>
              <w:marTop w:val="0"/>
              <w:marBottom w:val="0"/>
              <w:divBdr>
                <w:top w:val="none" w:sz="0" w:space="0" w:color="auto"/>
                <w:left w:val="none" w:sz="0" w:space="0" w:color="auto"/>
                <w:bottom w:val="none" w:sz="0" w:space="0" w:color="auto"/>
                <w:right w:val="none" w:sz="0" w:space="0" w:color="auto"/>
              </w:divBdr>
            </w:div>
          </w:divsChild>
        </w:div>
        <w:div w:id="1664553246">
          <w:marLeft w:val="0"/>
          <w:marRight w:val="0"/>
          <w:marTop w:val="0"/>
          <w:marBottom w:val="0"/>
          <w:divBdr>
            <w:top w:val="none" w:sz="0" w:space="0" w:color="auto"/>
            <w:left w:val="none" w:sz="0" w:space="0" w:color="auto"/>
            <w:bottom w:val="none" w:sz="0" w:space="0" w:color="auto"/>
            <w:right w:val="none" w:sz="0" w:space="0" w:color="auto"/>
          </w:divBdr>
        </w:div>
        <w:div w:id="1664553247">
          <w:marLeft w:val="0"/>
          <w:marRight w:val="0"/>
          <w:marTop w:val="0"/>
          <w:marBottom w:val="0"/>
          <w:divBdr>
            <w:top w:val="none" w:sz="0" w:space="0" w:color="auto"/>
            <w:left w:val="none" w:sz="0" w:space="0" w:color="auto"/>
            <w:bottom w:val="none" w:sz="0" w:space="0" w:color="auto"/>
            <w:right w:val="none" w:sz="0" w:space="0" w:color="auto"/>
          </w:divBdr>
          <w:divsChild>
            <w:div w:id="1664553241">
              <w:marLeft w:val="0"/>
              <w:marRight w:val="0"/>
              <w:marTop w:val="0"/>
              <w:marBottom w:val="0"/>
              <w:divBdr>
                <w:top w:val="none" w:sz="0" w:space="0" w:color="auto"/>
                <w:left w:val="none" w:sz="0" w:space="0" w:color="auto"/>
                <w:bottom w:val="none" w:sz="0" w:space="0" w:color="auto"/>
                <w:right w:val="none" w:sz="0" w:space="0" w:color="auto"/>
              </w:divBdr>
            </w:div>
          </w:divsChild>
        </w:div>
        <w:div w:id="1664553248">
          <w:marLeft w:val="0"/>
          <w:marRight w:val="0"/>
          <w:marTop w:val="0"/>
          <w:marBottom w:val="0"/>
          <w:divBdr>
            <w:top w:val="none" w:sz="0" w:space="0" w:color="auto"/>
            <w:left w:val="none" w:sz="0" w:space="0" w:color="auto"/>
            <w:bottom w:val="none" w:sz="0" w:space="0" w:color="auto"/>
            <w:right w:val="none" w:sz="0" w:space="0" w:color="auto"/>
          </w:divBdr>
        </w:div>
        <w:div w:id="1664553249">
          <w:marLeft w:val="0"/>
          <w:marRight w:val="0"/>
          <w:marTop w:val="0"/>
          <w:marBottom w:val="0"/>
          <w:divBdr>
            <w:top w:val="none" w:sz="0" w:space="0" w:color="auto"/>
            <w:left w:val="none" w:sz="0" w:space="0" w:color="auto"/>
            <w:bottom w:val="none" w:sz="0" w:space="0" w:color="auto"/>
            <w:right w:val="none" w:sz="0" w:space="0" w:color="auto"/>
          </w:divBdr>
          <w:divsChild>
            <w:div w:id="1664553255">
              <w:marLeft w:val="0"/>
              <w:marRight w:val="0"/>
              <w:marTop w:val="0"/>
              <w:marBottom w:val="0"/>
              <w:divBdr>
                <w:top w:val="none" w:sz="0" w:space="0" w:color="auto"/>
                <w:left w:val="none" w:sz="0" w:space="0" w:color="auto"/>
                <w:bottom w:val="none" w:sz="0" w:space="0" w:color="auto"/>
                <w:right w:val="none" w:sz="0" w:space="0" w:color="auto"/>
              </w:divBdr>
            </w:div>
          </w:divsChild>
        </w:div>
        <w:div w:id="1664553251">
          <w:marLeft w:val="0"/>
          <w:marRight w:val="0"/>
          <w:marTop w:val="0"/>
          <w:marBottom w:val="0"/>
          <w:divBdr>
            <w:top w:val="none" w:sz="0" w:space="0" w:color="auto"/>
            <w:left w:val="none" w:sz="0" w:space="0" w:color="auto"/>
            <w:bottom w:val="none" w:sz="0" w:space="0" w:color="auto"/>
            <w:right w:val="none" w:sz="0" w:space="0" w:color="auto"/>
          </w:divBdr>
        </w:div>
        <w:div w:id="1664553253">
          <w:marLeft w:val="0"/>
          <w:marRight w:val="0"/>
          <w:marTop w:val="0"/>
          <w:marBottom w:val="0"/>
          <w:divBdr>
            <w:top w:val="none" w:sz="0" w:space="0" w:color="auto"/>
            <w:left w:val="none" w:sz="0" w:space="0" w:color="auto"/>
            <w:bottom w:val="none" w:sz="0" w:space="0" w:color="auto"/>
            <w:right w:val="none" w:sz="0" w:space="0" w:color="auto"/>
          </w:divBdr>
        </w:div>
        <w:div w:id="1664553254">
          <w:marLeft w:val="0"/>
          <w:marRight w:val="0"/>
          <w:marTop w:val="0"/>
          <w:marBottom w:val="0"/>
          <w:divBdr>
            <w:top w:val="none" w:sz="0" w:space="0" w:color="auto"/>
            <w:left w:val="none" w:sz="0" w:space="0" w:color="auto"/>
            <w:bottom w:val="none" w:sz="0" w:space="0" w:color="auto"/>
            <w:right w:val="none" w:sz="0" w:space="0" w:color="auto"/>
          </w:divBdr>
        </w:div>
        <w:div w:id="1664553256">
          <w:marLeft w:val="0"/>
          <w:marRight w:val="0"/>
          <w:marTop w:val="0"/>
          <w:marBottom w:val="0"/>
          <w:divBdr>
            <w:top w:val="none" w:sz="0" w:space="0" w:color="auto"/>
            <w:left w:val="none" w:sz="0" w:space="0" w:color="auto"/>
            <w:bottom w:val="none" w:sz="0" w:space="0" w:color="auto"/>
            <w:right w:val="none" w:sz="0" w:space="0" w:color="auto"/>
          </w:divBdr>
          <w:divsChild>
            <w:div w:id="16645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3245">
      <w:marLeft w:val="0"/>
      <w:marRight w:val="0"/>
      <w:marTop w:val="0"/>
      <w:marBottom w:val="0"/>
      <w:divBdr>
        <w:top w:val="none" w:sz="0" w:space="0" w:color="auto"/>
        <w:left w:val="none" w:sz="0" w:space="0" w:color="auto"/>
        <w:bottom w:val="none" w:sz="0" w:space="0" w:color="auto"/>
        <w:right w:val="none" w:sz="0" w:space="0" w:color="auto"/>
      </w:divBdr>
    </w:div>
    <w:div w:id="1664553252">
      <w:marLeft w:val="0"/>
      <w:marRight w:val="0"/>
      <w:marTop w:val="0"/>
      <w:marBottom w:val="0"/>
      <w:divBdr>
        <w:top w:val="none" w:sz="0" w:space="0" w:color="auto"/>
        <w:left w:val="none" w:sz="0" w:space="0" w:color="auto"/>
        <w:bottom w:val="none" w:sz="0" w:space="0" w:color="auto"/>
        <w:right w:val="none" w:sz="0" w:space="0" w:color="auto"/>
      </w:divBdr>
    </w:div>
    <w:div w:id="1664553258">
      <w:marLeft w:val="0"/>
      <w:marRight w:val="0"/>
      <w:marTop w:val="0"/>
      <w:marBottom w:val="0"/>
      <w:divBdr>
        <w:top w:val="none" w:sz="0" w:space="0" w:color="auto"/>
        <w:left w:val="none" w:sz="0" w:space="0" w:color="auto"/>
        <w:bottom w:val="none" w:sz="0" w:space="0" w:color="auto"/>
        <w:right w:val="none" w:sz="0" w:space="0" w:color="auto"/>
      </w:divBdr>
    </w:div>
    <w:div w:id="1664553259">
      <w:marLeft w:val="0"/>
      <w:marRight w:val="0"/>
      <w:marTop w:val="0"/>
      <w:marBottom w:val="0"/>
      <w:divBdr>
        <w:top w:val="none" w:sz="0" w:space="0" w:color="auto"/>
        <w:left w:val="none" w:sz="0" w:space="0" w:color="auto"/>
        <w:bottom w:val="none" w:sz="0" w:space="0" w:color="auto"/>
        <w:right w:val="none" w:sz="0" w:space="0" w:color="auto"/>
      </w:divBdr>
    </w:div>
    <w:div w:id="1736313425">
      <w:bodyDiv w:val="1"/>
      <w:marLeft w:val="0"/>
      <w:marRight w:val="0"/>
      <w:marTop w:val="0"/>
      <w:marBottom w:val="0"/>
      <w:divBdr>
        <w:top w:val="none" w:sz="0" w:space="0" w:color="auto"/>
        <w:left w:val="none" w:sz="0" w:space="0" w:color="auto"/>
        <w:bottom w:val="none" w:sz="0" w:space="0" w:color="auto"/>
        <w:right w:val="none" w:sz="0" w:space="0" w:color="auto"/>
      </w:divBdr>
    </w:div>
    <w:div w:id="181410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50584093973656E-2"/>
          <c:y val="0.1061333859902141"/>
          <c:w val="0.7888101000923281"/>
          <c:h val="0.72065849145570937"/>
        </c:manualLayout>
      </c:layout>
      <c:pie3DChart>
        <c:varyColors val="1"/>
        <c:ser>
          <c:idx val="0"/>
          <c:order val="0"/>
          <c:tx>
            <c:strRef>
              <c:f>'рис 2'!$B$1:$B$2</c:f>
              <c:strCache>
                <c:ptCount val="2"/>
                <c:pt idx="0">
                  <c:v> Сведения об объемах оказанных услуг временного хранения товаров за 2015 год</c:v>
                </c:pt>
                <c:pt idx="1">
                  <c:v>Объем оказанных услуг временного хранения, включая сопутствующие услуги (тыс. руб.)</c:v>
                </c:pt>
              </c:strCache>
            </c:strRef>
          </c:tx>
          <c:spPr>
            <a:scene3d>
              <a:camera prst="orthographicFront"/>
              <a:lightRig rig="threePt" dir="t"/>
            </a:scene3d>
            <a:sp3d>
              <a:bevelT/>
              <a:contourClr>
                <a:srgbClr val="000000"/>
              </a:contourClr>
            </a:sp3d>
          </c:spPr>
          <c:explosion val="12"/>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bevelT/>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bevelT/>
                <a:contourClr>
                  <a:schemeClr val="lt1"/>
                </a:contourClr>
              </a:sp3d>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a:bevelT/>
                <a:contourClr>
                  <a:schemeClr val="lt1"/>
                </a:contourClr>
              </a:sp3d>
            </c:spPr>
          </c:dPt>
          <c:dPt>
            <c:idx val="7"/>
            <c:bubble3D val="0"/>
            <c:spPr>
              <a:solidFill>
                <a:schemeClr val="accent2">
                  <a:lumMod val="60000"/>
                </a:schemeClr>
              </a:solidFill>
              <a:ln w="25400">
                <a:solidFill>
                  <a:schemeClr val="lt1"/>
                </a:solidFill>
              </a:ln>
              <a:effectLst/>
              <a:scene3d>
                <a:camera prst="orthographicFront"/>
                <a:lightRig rig="threePt" dir="t"/>
              </a:scene3d>
              <a:sp3d contourW="25400">
                <a:bevelT/>
                <a:contourClr>
                  <a:schemeClr val="lt1"/>
                </a:contourClr>
              </a:sp3d>
            </c:spPr>
          </c:dPt>
          <c:dPt>
            <c:idx val="8"/>
            <c:bubble3D val="0"/>
            <c:spPr>
              <a:solidFill>
                <a:schemeClr val="accent3">
                  <a:lumMod val="60000"/>
                </a:schemeClr>
              </a:solidFill>
              <a:ln w="25400">
                <a:solidFill>
                  <a:schemeClr val="lt1"/>
                </a:solidFill>
              </a:ln>
              <a:effectLst/>
              <a:scene3d>
                <a:camera prst="orthographicFront"/>
                <a:lightRig rig="threePt" dir="t"/>
              </a:scene3d>
              <a:sp3d contourW="25400">
                <a:bevelT/>
                <a:contourClr>
                  <a:schemeClr val="lt1"/>
                </a:contourClr>
              </a:sp3d>
            </c:spPr>
          </c:dPt>
          <c:dPt>
            <c:idx val="9"/>
            <c:bubble3D val="0"/>
            <c:spPr>
              <a:solidFill>
                <a:schemeClr val="accent4">
                  <a:lumMod val="60000"/>
                </a:schemeClr>
              </a:solidFill>
              <a:ln w="25400">
                <a:solidFill>
                  <a:schemeClr val="lt1"/>
                </a:solidFill>
              </a:ln>
              <a:effectLst/>
              <a:scene3d>
                <a:camera prst="orthographicFront"/>
                <a:lightRig rig="threePt" dir="t"/>
              </a:scene3d>
              <a:sp3d contourW="25400">
                <a:bevelT/>
                <a:contourClr>
                  <a:schemeClr val="lt1"/>
                </a:contourClr>
              </a:sp3d>
            </c:spPr>
          </c:dPt>
          <c:dPt>
            <c:idx val="10"/>
            <c:bubble3D val="0"/>
            <c:spPr>
              <a:solidFill>
                <a:srgbClr val="74BC91"/>
              </a:solidFill>
              <a:ln w="25400">
                <a:solidFill>
                  <a:schemeClr val="lt1"/>
                </a:solidFill>
              </a:ln>
              <a:effectLst/>
              <a:scene3d>
                <a:camera prst="orthographicFront"/>
                <a:lightRig rig="threePt" dir="t"/>
              </a:scene3d>
              <a:sp3d contourW="25400">
                <a:bevelT/>
                <a:contourClr>
                  <a:schemeClr val="lt1"/>
                </a:contourClr>
              </a:sp3d>
            </c:spPr>
          </c:dPt>
          <c:dLbls>
            <c:dLbl>
              <c:idx val="0"/>
              <c:layout>
                <c:manualLayout>
                  <c:x val="6.9239398585042841E-2"/>
                  <c:y val="-7.057515817469819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2152139528594154"/>
                      <c:h val="0.15608861927003245"/>
                    </c:manualLayout>
                  </c15:layout>
                </c:ext>
              </c:extLst>
            </c:dLbl>
            <c:dLbl>
              <c:idx val="1"/>
              <c:layout>
                <c:manualLayout>
                  <c:x val="0.14253274588994908"/>
                  <c:y val="-2.2926111357819648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23662329180064298"/>
                  <c:y val="5.8447890907582199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3569656528757391"/>
                  <c:y val="7.4853071137671257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5784252314334613"/>
                  <c:y val="8.7746967178162452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1063183928015771"/>
                  <c:y val="4.4993206443769751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8492240577351934"/>
                      <c:h val="0.14015296316471129"/>
                    </c:manualLayout>
                  </c15:layout>
                </c:ext>
              </c:extLst>
            </c:dLbl>
            <c:dLbl>
              <c:idx val="6"/>
              <c:layout>
                <c:manualLayout>
                  <c:x val="-2.0168380808526557E-3"/>
                  <c:y val="6.8587814328885652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2425499251244684"/>
                      <c:h val="0.12152105031292736"/>
                    </c:manualLayout>
                  </c15:layout>
                </c:ext>
              </c:extLst>
            </c:dLbl>
            <c:dLbl>
              <c:idx val="7"/>
              <c:layout>
                <c:manualLayout>
                  <c:x val="-0.10717016274893683"/>
                  <c:y val="0.13786354795791614"/>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13937920161938597"/>
                  <c:y val="0.1374606137066508"/>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8.1093676958505972E-2"/>
                  <c:y val="5.3907638659108019E-2"/>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0.13292618754232133"/>
                  <c:y val="0.12546846520470573"/>
                </c:manualLayout>
              </c:layout>
              <c:tx>
                <c:rich>
                  <a:bodyPr/>
                  <a:lstStyle/>
                  <a:p>
                    <a:fld id="{0949C64F-2C26-4562-AAB7-1F2F2E9D36AB}" type="CATEGORYNAME">
                      <a:rPr lang="ru-RU"/>
                      <a:pPr/>
                      <a:t>[ИМЯ КАТЕГОРИИ]</a:t>
                    </a:fld>
                    <a:r>
                      <a:rPr lang="ru-RU" baseline="0" dirty="0"/>
                      <a:t>
</a:t>
                    </a:r>
                    <a:r>
                      <a:rPr lang="ru-RU" baseline="0" dirty="0" smtClean="0"/>
                      <a:t>(</a:t>
                    </a:r>
                    <a:fld id="{B491CBA9-9ADD-43DA-8960-7C8BC52883B8}" type="PERCENTAGE">
                      <a:rPr lang="ru-RU" baseline="0" smtClean="0"/>
                      <a:pPr/>
                      <a:t>[ПРОЦЕНТ]</a:t>
                    </a:fld>
                    <a:r>
                      <a:rPr lang="ru-RU" baseline="0" dirty="0" smtClean="0"/>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 2'!$A$3:$A$13</c:f>
              <c:strCache>
                <c:ptCount val="11"/>
                <c:pt idx="0">
                  <c:v>АО "Шереметьево-Карго"</c:v>
                </c:pt>
                <c:pt idx="1">
                  <c:v>ГЛ АльфаТрансТерминал</c:v>
                </c:pt>
                <c:pt idx="2">
                  <c:v>ООО "Автологистика"</c:v>
                </c:pt>
                <c:pt idx="3">
                  <c:v>ГЛ РЖД</c:v>
                </c:pt>
                <c:pt idx="4">
                  <c:v>ГЛ ДХЛ Интернешнл </c:v>
                </c:pt>
                <c:pt idx="5">
                  <c:v>ОАО "Ульяновский комбинат строительных материалов"</c:v>
                </c:pt>
                <c:pt idx="6">
                  <c:v>ООО "Терминал Селятино"</c:v>
                </c:pt>
                <c:pt idx="7">
                  <c:v>ГЛ ПАО ВМПТ </c:v>
                </c:pt>
                <c:pt idx="8">
                  <c:v>ГЛ Дело-Центр</c:v>
                </c:pt>
                <c:pt idx="9">
                  <c:v>ГЛ ТАМАРИКС</c:v>
                </c:pt>
                <c:pt idx="10">
                  <c:v>Владельцы СВХ с долей менее 2 %</c:v>
                </c:pt>
              </c:strCache>
            </c:strRef>
          </c:cat>
          <c:val>
            <c:numRef>
              <c:f>'рис 2'!$B$3:$B$13</c:f>
              <c:numCache>
                <c:formatCode>General</c:formatCode>
                <c:ptCount val="11"/>
                <c:pt idx="0">
                  <c:v>1599107</c:v>
                </c:pt>
                <c:pt idx="1">
                  <c:v>550876</c:v>
                </c:pt>
                <c:pt idx="2">
                  <c:v>395010</c:v>
                </c:pt>
                <c:pt idx="3">
                  <c:v>376799.30611999996</c:v>
                </c:pt>
                <c:pt idx="4">
                  <c:v>352940</c:v>
                </c:pt>
                <c:pt idx="5">
                  <c:v>329304</c:v>
                </c:pt>
                <c:pt idx="6">
                  <c:v>292816.7</c:v>
                </c:pt>
                <c:pt idx="7">
                  <c:v>292443.88842999999</c:v>
                </c:pt>
                <c:pt idx="8">
                  <c:v>266769.48699999996</c:v>
                </c:pt>
                <c:pt idx="9">
                  <c:v>259908</c:v>
                </c:pt>
                <c:pt idx="10">
                  <c:v>8164080.6180000016</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50584093973656E-2"/>
          <c:y val="7.8126859142607169E-2"/>
          <c:w val="0.81944966794717822"/>
          <c:h val="0.74866491688538928"/>
        </c:manualLayout>
      </c:layout>
      <c:pie3DChart>
        <c:varyColors val="1"/>
        <c:ser>
          <c:idx val="0"/>
          <c:order val="0"/>
          <c:tx>
            <c:strRef>
              <c:f>рис!$B$353</c:f>
              <c:strCache>
                <c:ptCount val="1"/>
                <c:pt idx="0">
                  <c:v>Объем оказанных услуг временного хранения, включая сопутствующие услуги (тыс. руб.)</c:v>
                </c:pt>
              </c:strCache>
            </c:strRef>
          </c:tx>
          <c:spPr>
            <a:scene3d>
              <a:camera prst="orthographicFront"/>
              <a:lightRig rig="threePt" dir="t"/>
            </a:scene3d>
            <a:sp3d>
              <a:bevelT/>
              <a:contourClr>
                <a:srgbClr val="000000"/>
              </a:contourClr>
            </a:sp3d>
          </c:spPr>
          <c:explosion val="13"/>
          <c:dPt>
            <c:idx val="0"/>
            <c:bubble3D val="0"/>
            <c:spPr>
              <a:solidFill>
                <a:srgbClr val="6AB7C6"/>
              </a:solidFill>
              <a:ln w="25400">
                <a:solidFill>
                  <a:schemeClr val="lt1"/>
                </a:solidFill>
              </a:ln>
              <a:effectLst/>
              <a:scene3d>
                <a:camera prst="orthographicFront"/>
                <a:lightRig rig="threePt" dir="t"/>
              </a:scene3d>
              <a:sp3d contourW="25400">
                <a:bevelT/>
                <a:contourClr>
                  <a:schemeClr val="lt1"/>
                </a:contourClr>
              </a:sp3d>
            </c:spPr>
          </c:dPt>
          <c:dPt>
            <c:idx val="1"/>
            <c:bubble3D val="0"/>
            <c:spPr>
              <a:solidFill>
                <a:srgbClr val="5B9BD5"/>
              </a:solidFill>
              <a:ln w="25400">
                <a:solidFill>
                  <a:schemeClr val="lt1"/>
                </a:solidFill>
              </a:ln>
              <a:effectLst/>
              <a:scene3d>
                <a:camera prst="orthographicFront"/>
                <a:lightRig rig="threePt" dir="t"/>
              </a:scene3d>
              <a:sp3d contourW="25400">
                <a:bevelT/>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dPt>
          <c:dPt>
            <c:idx val="4"/>
            <c:bubble3D val="0"/>
            <c:spPr>
              <a:solidFill>
                <a:srgbClr val="ED7D31"/>
              </a:solidFill>
              <a:ln w="25400">
                <a:solidFill>
                  <a:schemeClr val="lt1"/>
                </a:solidFill>
              </a:ln>
              <a:effectLst/>
              <a:scene3d>
                <a:camera prst="orthographicFront"/>
                <a:lightRig rig="threePt" dir="t"/>
              </a:scene3d>
              <a:sp3d contourW="25400">
                <a:bevelT/>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bevelT/>
                <a:contourClr>
                  <a:schemeClr val="lt1"/>
                </a:contourClr>
              </a:sp3d>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a:bevelT/>
                <a:contourClr>
                  <a:schemeClr val="lt1"/>
                </a:contourClr>
              </a:sp3d>
            </c:spPr>
          </c:dPt>
          <c:dPt>
            <c:idx val="7"/>
            <c:bubble3D val="0"/>
            <c:spPr>
              <a:solidFill>
                <a:schemeClr val="accent2">
                  <a:lumMod val="60000"/>
                </a:schemeClr>
              </a:solidFill>
              <a:ln w="25400">
                <a:solidFill>
                  <a:schemeClr val="lt1"/>
                </a:solidFill>
              </a:ln>
              <a:effectLst/>
              <a:scene3d>
                <a:camera prst="orthographicFront"/>
                <a:lightRig rig="threePt" dir="t"/>
              </a:scene3d>
              <a:sp3d contourW="25400">
                <a:bevelT/>
                <a:contourClr>
                  <a:schemeClr val="lt1"/>
                </a:contourClr>
              </a:sp3d>
            </c:spPr>
          </c:dPt>
          <c:dPt>
            <c:idx val="8"/>
            <c:bubble3D val="0"/>
            <c:spPr>
              <a:solidFill>
                <a:schemeClr val="accent3">
                  <a:lumMod val="60000"/>
                </a:schemeClr>
              </a:solidFill>
              <a:ln w="25400">
                <a:solidFill>
                  <a:schemeClr val="lt1"/>
                </a:solidFill>
              </a:ln>
              <a:effectLst/>
              <a:scene3d>
                <a:camera prst="orthographicFront"/>
                <a:lightRig rig="threePt" dir="t"/>
              </a:scene3d>
              <a:sp3d contourW="25400">
                <a:bevelT/>
                <a:contourClr>
                  <a:schemeClr val="lt1"/>
                </a:contourClr>
              </a:sp3d>
            </c:spPr>
          </c:dPt>
          <c:dPt>
            <c:idx val="9"/>
            <c:bubble3D val="0"/>
            <c:spPr>
              <a:solidFill>
                <a:schemeClr val="accent4">
                  <a:lumMod val="60000"/>
                </a:schemeClr>
              </a:solidFill>
              <a:ln w="25400">
                <a:solidFill>
                  <a:schemeClr val="lt1"/>
                </a:solidFill>
              </a:ln>
              <a:effectLst/>
              <a:scene3d>
                <a:camera prst="orthographicFront"/>
                <a:lightRig rig="threePt" dir="t"/>
              </a:scene3d>
              <a:sp3d contourW="25400">
                <a:bevelT/>
                <a:contourClr>
                  <a:schemeClr val="lt1"/>
                </a:contourClr>
              </a:sp3d>
            </c:spPr>
          </c:dPt>
          <c:dPt>
            <c:idx val="10"/>
            <c:bubble3D val="0"/>
            <c:spPr>
              <a:solidFill>
                <a:srgbClr val="74BC91"/>
              </a:solidFill>
              <a:ln w="25400">
                <a:solidFill>
                  <a:schemeClr val="lt1"/>
                </a:solidFill>
              </a:ln>
              <a:effectLst/>
              <a:scene3d>
                <a:camera prst="orthographicFront"/>
                <a:lightRig rig="threePt" dir="t"/>
              </a:scene3d>
              <a:sp3d contourW="25400">
                <a:bevelT/>
                <a:contourClr>
                  <a:schemeClr val="lt1"/>
                </a:contourClr>
              </a:sp3d>
            </c:spPr>
          </c:dPt>
          <c:dLbls>
            <c:dLbl>
              <c:idx val="0"/>
              <c:layout>
                <c:manualLayout>
                  <c:x val="0.1273253583686654"/>
                  <c:y val="0.15286398023776437"/>
                </c:manualLayout>
              </c:layout>
              <c:tx>
                <c:rich>
                  <a:bodyPr/>
                  <a:lstStyle/>
                  <a:p>
                    <a:fld id="{782FC467-982C-4F33-B15B-B1838FC72538}" type="CATEGORYNAME">
                      <a:rPr lang="ru-RU"/>
                      <a:pPr/>
                      <a:t>[ИМЯ КАТЕГОРИИ]</a:t>
                    </a:fld>
                    <a:r>
                      <a:rPr lang="ru-RU" baseline="0" dirty="0"/>
                      <a:t>
</a:t>
                    </a:r>
                    <a:r>
                      <a:rPr lang="ru-RU" baseline="0" dirty="0" smtClean="0"/>
                      <a:t>(</a:t>
                    </a:r>
                    <a:fld id="{DB90925F-7EA3-4F58-9051-580FE669299B}" type="PERCENTAGE">
                      <a:rPr lang="ru-RU" baseline="0" smtClean="0"/>
                      <a:pPr/>
                      <a:t>[ПРОЦЕНТ]</a:t>
                    </a:fld>
                    <a:r>
                      <a:rPr lang="ru-RU" baseline="0" dirty="0" smtClean="0"/>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5.2344387240056529E-2"/>
                  <c:y val="-1.116126293036899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2623712901271955"/>
                      <c:h val="0.14960784313725489"/>
                    </c:manualLayout>
                  </c15:layout>
                </c:ext>
              </c:extLst>
            </c:dLbl>
            <c:dLbl>
              <c:idx val="2"/>
              <c:layout>
                <c:manualLayout>
                  <c:x val="0.23662329180064298"/>
                  <c:y val="5.8447890907582199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3569656528757391"/>
                  <c:y val="7.4853071137671257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5784252314334613"/>
                  <c:y val="8.7746967178162452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1063183928015771"/>
                  <c:y val="4.4993206443769751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8492240577351934"/>
                      <c:h val="0.14015296316471129"/>
                    </c:manualLayout>
                  </c15:layout>
                </c:ext>
              </c:extLst>
            </c:dLbl>
            <c:dLbl>
              <c:idx val="6"/>
              <c:layout>
                <c:manualLayout>
                  <c:x val="-2.0168380808526557E-3"/>
                  <c:y val="6.8587814328885652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2425499251244684"/>
                      <c:h val="0.12152105031292736"/>
                    </c:manualLayout>
                  </c15:layout>
                </c:ext>
              </c:extLst>
            </c:dLbl>
            <c:dLbl>
              <c:idx val="7"/>
              <c:layout>
                <c:manualLayout>
                  <c:x val="-0.10717016274893683"/>
                  <c:y val="0.13786354795791614"/>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13937920161938597"/>
                  <c:y val="0.1374606137066508"/>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10449765730344363"/>
                  <c:y val="8.5803100757399858E-2"/>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рис!$A$354:$A$361</c:f>
              <c:strCache>
                <c:ptCount val="8"/>
                <c:pt idx="0">
                  <c:v>Владельцы СВХ с долей менее 2 %</c:v>
                </c:pt>
                <c:pt idx="1">
                  <c:v>АО "Шереметьево-Карго"</c:v>
                </c:pt>
                <c:pt idx="2">
                  <c:v>ГЛ АльфаТрансТерминал</c:v>
                </c:pt>
                <c:pt idx="3">
                  <c:v>ООО "Автологистика"</c:v>
                </c:pt>
                <c:pt idx="4">
                  <c:v>ГЛ РЖД</c:v>
                </c:pt>
                <c:pt idx="5">
                  <c:v>ООО "ТЕРМИНАЛ СЕЛЯТИНО"</c:v>
                </c:pt>
                <c:pt idx="6">
                  <c:v>ГЛ ПАО ВМПТ</c:v>
                </c:pt>
                <c:pt idx="7">
                  <c:v>ГЛ ДХЛ Интернешнл </c:v>
                </c:pt>
              </c:strCache>
            </c:strRef>
          </c:cat>
          <c:val>
            <c:numRef>
              <c:f>рис!$B$354:$B$361</c:f>
              <c:numCache>
                <c:formatCode>#,##0.00</c:formatCode>
                <c:ptCount val="8"/>
                <c:pt idx="0">
                  <c:v>9360798.4743799902</c:v>
                </c:pt>
                <c:pt idx="1">
                  <c:v>1549180</c:v>
                </c:pt>
                <c:pt idx="2">
                  <c:v>728508</c:v>
                </c:pt>
                <c:pt idx="3">
                  <c:v>418673</c:v>
                </c:pt>
                <c:pt idx="4">
                  <c:v>404960.55700000003</c:v>
                </c:pt>
                <c:pt idx="5">
                  <c:v>327778.59999999998</c:v>
                </c:pt>
                <c:pt idx="6">
                  <c:v>325685.23306</c:v>
                </c:pt>
                <c:pt idx="7">
                  <c:v>305935</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rgbClr val="006666"/>
                </a:solidFill>
                <a:latin typeface="+mn-lt"/>
                <a:ea typeface="+mn-ea"/>
                <a:cs typeface="+mn-cs"/>
              </a:defRPr>
            </a:pPr>
            <a:r>
              <a:rPr lang="en-US" sz="1800" b="1">
                <a:solidFill>
                  <a:srgbClr val="006666"/>
                </a:solidFill>
              </a:rPr>
              <a:t>2015</a:t>
            </a:r>
          </a:p>
        </c:rich>
      </c:tx>
      <c:overlay val="0"/>
      <c:spPr>
        <a:noFill/>
        <a:ln>
          <a:noFill/>
        </a:ln>
        <a:effectLst/>
      </c:spPr>
      <c:txPr>
        <a:bodyPr rot="0" spcFirstLastPara="1" vertOverflow="ellipsis" vert="horz" wrap="square" anchor="ctr" anchorCtr="1"/>
        <a:lstStyle/>
        <a:p>
          <a:pPr>
            <a:defRPr sz="1800" b="1" i="0" u="none" strike="noStrike" kern="1200" spc="0" baseline="0">
              <a:solidFill>
                <a:srgbClr val="006666"/>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glow rad="63500">
                <a:srgbClr val="008080">
                  <a:alpha val="40000"/>
                </a:srgbClr>
              </a:glow>
            </a:effectLst>
            <a:sp3d/>
          </c:spPr>
          <c:invertIfNegative val="0"/>
          <c:dPt>
            <c:idx val="0"/>
            <c:invertIfNegative val="0"/>
            <c:bubble3D val="0"/>
            <c:spPr>
              <a:solidFill>
                <a:schemeClr val="accent6"/>
              </a:solidFill>
              <a:ln>
                <a:noFill/>
              </a:ln>
              <a:effectLst>
                <a:glow rad="63500">
                  <a:srgbClr val="008080">
                    <a:alpha val="40000"/>
                  </a:srgbClr>
                </a:glow>
              </a:effectLst>
              <a:sp3d/>
            </c:spPr>
          </c:dPt>
          <c:dPt>
            <c:idx val="1"/>
            <c:invertIfNegative val="0"/>
            <c:bubble3D val="0"/>
            <c:spPr>
              <a:solidFill>
                <a:srgbClr val="7030A0"/>
              </a:solidFill>
              <a:ln>
                <a:noFill/>
              </a:ln>
              <a:effectLst>
                <a:glow rad="63500">
                  <a:srgbClr val="008080">
                    <a:alpha val="40000"/>
                  </a:srgbClr>
                </a:glow>
              </a:effectLst>
              <a:sp3d/>
            </c:spPr>
          </c:dPt>
          <c:dLbls>
            <c:dLbl>
              <c:idx val="0"/>
              <c:layout>
                <c:manualLayout>
                  <c:x val="1.7948717948717947E-2"/>
                  <c:y val="-4.2656914467512396E-3"/>
                </c:manualLayout>
              </c:layout>
              <c:tx>
                <c:rich>
                  <a:bodyPr/>
                  <a:lstStyle/>
                  <a:p>
                    <a:fld id="{DE510EE3-DB99-4090-9A9B-501D61EF5A0B}"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layout>
                <c:manualLayout>
                  <c:x val="2.0512820512820513E-2"/>
                  <c:y val="-7.8203439777629716E-17"/>
                </c:manualLayout>
              </c:layout>
              <c:tx>
                <c:rich>
                  <a:bodyPr/>
                  <a:lstStyle/>
                  <a:p>
                    <a:fld id="{BE041492-6F1E-47F7-B872-5DE1FC3D35E3}"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bg1"/>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'рис 2'!$A$21:$A$22</c:f>
              <c:strCache>
                <c:ptCount val="2"/>
                <c:pt idx="0">
                  <c:v>СВХ с таможенными постами</c:v>
                </c:pt>
                <c:pt idx="1">
                  <c:v>СВХ без таможенных постов</c:v>
                </c:pt>
              </c:strCache>
            </c:strRef>
          </c:cat>
          <c:val>
            <c:numRef>
              <c:f>'рис 2'!$B$21:$B$22</c:f>
              <c:numCache>
                <c:formatCode>General</c:formatCode>
                <c:ptCount val="2"/>
                <c:pt idx="0">
                  <c:v>9588819</c:v>
                </c:pt>
                <c:pt idx="1">
                  <c:v>3291235.9995499998</c:v>
                </c:pt>
              </c:numCache>
            </c:numRef>
          </c:val>
          <c:extLst>
            <c:ext xmlns:c15="http://schemas.microsoft.com/office/drawing/2012/chart" uri="{02D57815-91ED-43cb-92C2-25804820EDAC}">
              <c15:datalabelsRange>
                <c15:f>'рис 2'!$C$21:$C$22</c15:f>
                <c15:dlblRangeCache>
                  <c:ptCount val="2"/>
                  <c:pt idx="0">
                    <c:v>74,45%</c:v>
                  </c:pt>
                  <c:pt idx="1">
                    <c:v>25,55%</c:v>
                  </c:pt>
                </c15:dlblRangeCache>
              </c15:datalabelsRange>
            </c:ext>
          </c:extLst>
        </c:ser>
        <c:dLbls>
          <c:showLegendKey val="0"/>
          <c:showVal val="0"/>
          <c:showCatName val="0"/>
          <c:showSerName val="0"/>
          <c:showPercent val="0"/>
          <c:showBubbleSize val="0"/>
        </c:dLbls>
        <c:gapWidth val="219"/>
        <c:shape val="box"/>
        <c:axId val="346311808"/>
        <c:axId val="346310632"/>
        <c:axId val="0"/>
      </c:bar3DChart>
      <c:catAx>
        <c:axId val="34631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1" u="none" strike="noStrike" kern="1200" baseline="0">
                <a:solidFill>
                  <a:srgbClr val="008080"/>
                </a:solidFill>
                <a:latin typeface="+mn-lt"/>
                <a:ea typeface="+mn-ea"/>
                <a:cs typeface="+mn-cs"/>
              </a:defRPr>
            </a:pPr>
            <a:endParaRPr lang="ru-RU"/>
          </a:p>
        </c:txPr>
        <c:crossAx val="346310632"/>
        <c:crosses val="autoZero"/>
        <c:auto val="1"/>
        <c:lblAlgn val="ctr"/>
        <c:lblOffset val="100"/>
        <c:noMultiLvlLbl val="0"/>
      </c:catAx>
      <c:valAx>
        <c:axId val="346310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6666"/>
                </a:solidFill>
                <a:latin typeface="+mn-lt"/>
                <a:ea typeface="+mn-ea"/>
                <a:cs typeface="+mn-cs"/>
              </a:defRPr>
            </a:pPr>
            <a:endParaRPr lang="ru-RU"/>
          </a:p>
        </c:txPr>
        <c:crossAx val="34631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rgbClr val="006666"/>
                </a:solidFill>
                <a:latin typeface="+mn-lt"/>
                <a:ea typeface="+mn-ea"/>
                <a:cs typeface="+mn-cs"/>
              </a:defRPr>
            </a:pPr>
            <a:r>
              <a:rPr lang="ru-RU"/>
              <a:t>2016</a:t>
            </a:r>
          </a:p>
        </c:rich>
      </c:tx>
      <c:overlay val="0"/>
      <c:spPr>
        <a:noFill/>
        <a:ln>
          <a:noFill/>
        </a:ln>
        <a:effectLst/>
      </c:spPr>
      <c:txPr>
        <a:bodyPr rot="0" spcFirstLastPara="1" vertOverflow="ellipsis" vert="horz" wrap="square" anchor="ctr" anchorCtr="1"/>
        <a:lstStyle/>
        <a:p>
          <a:pPr>
            <a:defRPr sz="1800" b="1" i="0" u="none" strike="noStrike" kern="1200" spc="0" baseline="0">
              <a:solidFill>
                <a:srgbClr val="006666"/>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glow rad="63500">
                <a:srgbClr val="008080">
                  <a:alpha val="40000"/>
                </a:srgbClr>
              </a:glow>
            </a:effectLst>
            <a:sp3d/>
          </c:spPr>
          <c:invertIfNegative val="0"/>
          <c:dPt>
            <c:idx val="0"/>
            <c:invertIfNegative val="0"/>
            <c:bubble3D val="0"/>
            <c:spPr>
              <a:solidFill>
                <a:schemeClr val="accent6"/>
              </a:solidFill>
              <a:ln>
                <a:noFill/>
              </a:ln>
              <a:effectLst>
                <a:glow rad="63500">
                  <a:srgbClr val="008080">
                    <a:alpha val="40000"/>
                  </a:srgbClr>
                </a:glow>
              </a:effectLst>
              <a:sp3d/>
            </c:spPr>
          </c:dPt>
          <c:dPt>
            <c:idx val="1"/>
            <c:invertIfNegative val="0"/>
            <c:bubble3D val="0"/>
            <c:spPr>
              <a:solidFill>
                <a:srgbClr val="7030A0"/>
              </a:solidFill>
              <a:ln>
                <a:noFill/>
              </a:ln>
              <a:effectLst>
                <a:glow rad="63500">
                  <a:srgbClr val="008080">
                    <a:alpha val="40000"/>
                  </a:srgbClr>
                </a:glow>
              </a:effectLst>
              <a:sp3d/>
            </c:spPr>
          </c:dPt>
          <c:dLbls>
            <c:dLbl>
              <c:idx val="0"/>
              <c:layout>
                <c:manualLayout>
                  <c:x val="1.7948717948717947E-2"/>
                  <c:y val="-4.2656914467512396E-3"/>
                </c:manualLayout>
              </c:layout>
              <c:tx>
                <c:rich>
                  <a:bodyPr/>
                  <a:lstStyle/>
                  <a:p>
                    <a:r>
                      <a:rPr lang="en-US"/>
                      <a:t>75,34%</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2.0512820512820513E-2"/>
                  <c:y val="-7.8203439777629716E-17"/>
                </c:manualLayout>
              </c:layout>
              <c:tx>
                <c:rich>
                  <a:bodyPr/>
                  <a:lstStyle/>
                  <a:p>
                    <a:r>
                      <a:rPr lang="en-US"/>
                      <a:t>24,66%</a:t>
                    </a:r>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bg1"/>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рис!$A$375:$A$376</c:f>
              <c:strCache>
                <c:ptCount val="2"/>
                <c:pt idx="0">
                  <c:v>СВХ с таможенными постами</c:v>
                </c:pt>
                <c:pt idx="1">
                  <c:v>СВХ без таможенных постов</c:v>
                </c:pt>
              </c:strCache>
            </c:strRef>
          </c:cat>
          <c:val>
            <c:numRef>
              <c:f>рис!$B$375:$B$376</c:f>
              <c:numCache>
                <c:formatCode>General</c:formatCode>
                <c:ptCount val="2"/>
                <c:pt idx="0">
                  <c:v>10112121.029999999</c:v>
                </c:pt>
                <c:pt idx="1">
                  <c:v>3309397.834439991</c:v>
                </c:pt>
              </c:numCache>
            </c:numRef>
          </c:val>
          <c:extLst/>
        </c:ser>
        <c:dLbls>
          <c:showLegendKey val="0"/>
          <c:showVal val="0"/>
          <c:showCatName val="0"/>
          <c:showSerName val="0"/>
          <c:showPercent val="0"/>
          <c:showBubbleSize val="0"/>
        </c:dLbls>
        <c:gapWidth val="219"/>
        <c:shape val="box"/>
        <c:axId val="346298392"/>
        <c:axId val="346300048"/>
        <c:axId val="0"/>
      </c:bar3DChart>
      <c:catAx>
        <c:axId val="34629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1" u="none" strike="noStrike" kern="1200" baseline="0">
                <a:solidFill>
                  <a:srgbClr val="008080"/>
                </a:solidFill>
                <a:latin typeface="+mn-lt"/>
                <a:ea typeface="+mn-ea"/>
                <a:cs typeface="+mn-cs"/>
              </a:defRPr>
            </a:pPr>
            <a:endParaRPr lang="ru-RU"/>
          </a:p>
        </c:txPr>
        <c:crossAx val="346300048"/>
        <c:crosses val="autoZero"/>
        <c:auto val="1"/>
        <c:lblAlgn val="ctr"/>
        <c:lblOffset val="100"/>
        <c:noMultiLvlLbl val="0"/>
      </c:catAx>
      <c:valAx>
        <c:axId val="34630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6666"/>
                </a:solidFill>
                <a:latin typeface="+mn-lt"/>
                <a:ea typeface="+mn-ea"/>
                <a:cs typeface="+mn-cs"/>
              </a:defRPr>
            </a:pPr>
            <a:endParaRPr lang="ru-RU"/>
          </a:p>
        </c:txPr>
        <c:crossAx val="3462983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2ED01-46DF-4C12-BF4A-B65BA787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6860</Words>
  <Characters>39108</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ФАС России</Company>
  <LinksUpToDate>false</LinksUpToDate>
  <CharactersWithSpaces>45877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Уманцева Н.Г.</dc:creator>
  <cp:keywords/>
  <dc:description/>
  <cp:lastModifiedBy>Елагина Елена Викторовна</cp:lastModifiedBy>
  <cp:revision>2</cp:revision>
  <cp:lastPrinted>2018-10-05T10:24:00Z</cp:lastPrinted>
  <dcterms:created xsi:type="dcterms:W3CDTF">2019-03-14T14:04:00Z</dcterms:created>
  <dcterms:modified xsi:type="dcterms:W3CDTF">2019-03-14T14:04:00Z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Методические рекомендации по анализу рынка услуг розничной торговли лекарственными средствами, изделиями медицинского назначения</vt:lpwstr>
  </property>
  <property fmtid="{D5CDD505-2E9C-101B-9397-08002B2CF9AE}" pid="3" name="Owner">
    <vt:lpwstr/>
  </property>
  <property fmtid="{D5CDD505-2E9C-101B-9397-08002B2CF9AE}" pid="4" name="Status">
    <vt:lpwstr/>
  </property>
</Properties>
</file>