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05" w:rsidRPr="00634005" w:rsidRDefault="00634005" w:rsidP="00634005">
      <w:pPr>
        <w:jc w:val="center"/>
      </w:pPr>
      <w:r w:rsidRPr="00634005">
        <w:rPr>
          <w:noProof/>
          <w:lang w:eastAsia="ru-RU"/>
        </w:rPr>
        <w:drawing>
          <wp:inline distT="0" distB="0" distL="0" distR="0" wp14:anchorId="7A209521" wp14:editId="4F061BCF">
            <wp:extent cx="1066800" cy="10111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2" cy="101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005" w:rsidRPr="00634005" w:rsidRDefault="00634005" w:rsidP="0063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005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634005" w:rsidRPr="00634005" w:rsidRDefault="00634005" w:rsidP="0063400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005">
        <w:rPr>
          <w:rFonts w:ascii="Times New Roman" w:hAnsi="Times New Roman" w:cs="Times New Roman"/>
          <w:b/>
          <w:bCs/>
          <w:sz w:val="28"/>
          <w:szCs w:val="28"/>
        </w:rPr>
        <w:t>КОНТРОЛЬНО-ФИНАНСОВОЕ УПРАВЛЕНИЕ</w:t>
      </w:r>
    </w:p>
    <w:p w:rsidR="00634005" w:rsidRPr="00634005" w:rsidRDefault="00634005" w:rsidP="0063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005" w:rsidRDefault="00634005" w:rsidP="00634005">
      <w:pPr>
        <w:ind w:left="432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634005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О СОСТОЯНИИ КОНКУРЕНЦИИ </w:t>
      </w:r>
      <w:r w:rsidRPr="003912DB">
        <w:rPr>
          <w:rFonts w:ascii="Times New Roman" w:eastAsia="Times New Roman" w:hAnsi="Times New Roman"/>
          <w:b/>
          <w:sz w:val="28"/>
          <w:szCs w:val="28"/>
        </w:rPr>
        <w:t xml:space="preserve">НА ОПТОВОМ </w:t>
      </w:r>
      <w:r w:rsidRPr="003912DB">
        <w:rPr>
          <w:rFonts w:ascii="Times New Roman" w:eastAsia="Times New Roman" w:hAnsi="Times New Roman"/>
          <w:b/>
          <w:caps/>
          <w:sz w:val="28"/>
          <w:szCs w:val="28"/>
        </w:rPr>
        <w:t xml:space="preserve">рынке </w:t>
      </w:r>
      <w:r w:rsidRPr="00596A11">
        <w:rPr>
          <w:rFonts w:ascii="Times New Roman" w:eastAsia="Times New Roman" w:hAnsi="Times New Roman"/>
          <w:b/>
          <w:caps/>
          <w:sz w:val="28"/>
          <w:szCs w:val="28"/>
        </w:rPr>
        <w:t>никотиносодержащей продукции и устройств, предназначенных для потребления никотина способами, отличными от курения табака</w:t>
      </w:r>
    </w:p>
    <w:p w:rsidR="00634005" w:rsidRPr="00634005" w:rsidRDefault="00634005" w:rsidP="0063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005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B17E2">
        <w:rPr>
          <w:rFonts w:ascii="Times New Roman" w:hAnsi="Times New Roman" w:cs="Times New Roman"/>
          <w:b/>
          <w:bCs/>
          <w:sz w:val="28"/>
          <w:szCs w:val="28"/>
        </w:rPr>
        <w:t xml:space="preserve"> 2018-</w:t>
      </w:r>
      <w:r w:rsidRPr="00634005">
        <w:rPr>
          <w:rFonts w:ascii="Times New Roman" w:hAnsi="Times New Roman" w:cs="Times New Roman"/>
          <w:b/>
          <w:bCs/>
          <w:sz w:val="28"/>
          <w:szCs w:val="28"/>
        </w:rPr>
        <w:t>2019 Г</w:t>
      </w:r>
      <w:r w:rsidR="00CB17E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34005" w:rsidRDefault="00634005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186055</wp:posOffset>
                </wp:positionV>
                <wp:extent cx="438150" cy="314325"/>
                <wp:effectExtent l="0" t="0" r="19050" b="28575"/>
                <wp:wrapNone/>
                <wp:docPr id="14" name="Прямоугольник с двумя усече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3F362" id="Прямоугольник с двумя усеченными соседними углами 14" o:spid="_x0000_s1026" style="position:absolute;margin-left:393.3pt;margin-top:14.65pt;width:34.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H0zgIAAIsFAAAOAAAAZHJzL2Uyb0RvYy54bWysVM1u1DAQviPxDpbvNJvtLpRVs9WqVRFS&#10;1Vbdop5dx24iEtvY3j9OVD1wAKmPwCsgoFJFf57BeSPGTjYtpVwQe8ja8/PNeOabWd+YlwWaMm1y&#10;KRIcr3QwYoLKNBcnCX5zuP1sDSNjiUhJIQVL8IIZvDF8+mR9pgasKzNZpEwjABFmMFMJzqxVgygy&#10;NGMlMStSMQFKLnVJLFz1SZRqMgP0soi6nc7zaCZ1qrSkzBiQbtVKPAz4nDNq9zg3zKIiwZCbDV8d&#10;vsf+Gw3XyeBEE5XltEmD/EMWJckFBG2htoglaKLzP6DKnGppJLcrVJaR5DynLLwBXhN3HrxmnBHF&#10;wlugOEa1ZTL/D5buTvc1ylPoXQ8jQUrokftSfajO3bW7rc7cd3frrqrP7sZdup+oOkXuh/sG8uvq&#10;HFVn1am7qD66C1DfVJ/A5RJMwA/EYOd9gsjDXLmv4QJxoOgzZQYQe6z2dXMzcPQVnHNd+n+oDZqH&#10;Ri3aRrG5RRSEvdW1uA/tpKBajXur3b7HjO6clTb2FZMl8ocEG5Gr7hgedwCECH0i0x1ja5+lLQD4&#10;rOo8wskuCuZTKcQB41AkiNwN3oGebLPQaEqAWOnbuBZnJGW1qN+BX5NUax1SDGAeledF0eI2AJ72&#10;v+PWOTa23o0FVreOnb8lVDu21iGiFLZ1LHMh9WPOhY2bxHltvyxMXQ5fmWOZLoA2WtbzZBTdzqHQ&#10;O8TYfaJhgKA3sBTsHnx4IWcJls0Jo0zq94/JvT3wGrQYzWAgoWvvJkQzjIrXAhj/Mu71/ASHS6//&#10;ogsXfV9zfF8jJuWmhNbEsH4UDUdvb4vlkWtZHsHuGPmooCKCQuwEU6uXl01bLwrYPpSNRsEMplYR&#10;uyPGinpwX1XPn8P5EdGqYZsFmu7K5fCSwQOu1bbeU8jRxEqeByLe1bWpN0x8IEyznfxKuX8PVnc7&#10;dPgLAAD//wMAUEsDBBQABgAIAAAAIQBtTRLO2wAAAAkBAAAPAAAAZHJzL2Rvd25yZXYueG1sTI/B&#10;bsIwDIbvk3iHyJN2GylMdKVritAktONU2AOkjdd2NE5pUihvP3OCo/1/+v0520y2E2ccfOtIwWIe&#10;gUCqnGmpVvBz2L0mIHzQZHTnCBVc0cMmnz1lOjXuQgWe96EWXEI+1QqaEPpUSl81aLWfux6Js183&#10;WB14HGppBn3hctvJZRTF0uqW+EKje/xssDruR6uAvqShYiz/1oWxcnHafu+OV6nUy/O0/QARcAp3&#10;GG76rA45O5VuJONFp+A9iWNGFSzXbyAYSFYrXpS3JAGZZ/Lxg/wfAAD//wMAUEsBAi0AFAAGAAgA&#10;AAAhALaDOJL+AAAA4QEAABMAAAAAAAAAAAAAAAAAAAAAAFtDb250ZW50X1R5cGVzXS54bWxQSwEC&#10;LQAUAAYACAAAACEAOP0h/9YAAACUAQAACwAAAAAAAAAAAAAAAAAvAQAAX3JlbHMvLnJlbHNQSwEC&#10;LQAUAAYACAAAACEAH9XR9M4CAACLBQAADgAAAAAAAAAAAAAAAAAuAgAAZHJzL2Uyb0RvYy54bWxQ&#10;SwECLQAUAAYACAAAACEAbU0SztsAAAAJAQAADwAAAAAAAAAAAAAAAAAoBQAAZHJzL2Rvd25yZXYu&#10;eG1sUEsFBgAAAAAEAAQA8wAAADAGAAAAAA==&#10;" path="m52389,l385761,r52389,52389l438150,314325r,l,314325r,l,52389,52389,xe" fillcolor="black [3200]" strokecolor="black [1600]" strokeweight="1pt">
                <v:stroke joinstyle="miter"/>
                <v:path arrowok="t" o:connecttype="custom" o:connectlocs="52389,0;385761,0;438150,52389;438150,314325;438150,314325;0,314325;0,314325;0,52389;52389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186055</wp:posOffset>
                </wp:positionV>
                <wp:extent cx="371475" cy="238125"/>
                <wp:effectExtent l="0" t="0" r="28575" b="28575"/>
                <wp:wrapNone/>
                <wp:docPr id="4" name="Прямоугольник с двумя скругленными соседн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812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FA634" id="Прямоугольник с двумя скругленными соседними углами 4" o:spid="_x0000_s1026" style="position:absolute;margin-left:72.3pt;margin-top:14.65pt;width:29.2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l4zQIAAI4FAAAOAAAAZHJzL2Uyb0RvYy54bWysVM1O3DAQvlfqO1i+l2zCbqErsmgFoqqE&#10;ALFUnI1jk6iJ7drezW5PRT22Eo/QV6jaIiH+niF5o46dbKCUXqqutI5n5pvxePzNbGzOixzNmDaZ&#10;FDEOV3oYMUFlkonTGL892nmxjpGxRCQkl4LFeMEM3hw9f7ZRqiGLZCrzhGkEQYQZlirGqbVqGASG&#10;pqwgZkUqJsDIpS6IBVGfBokmJUQv8iDq9V4GpdSJ0pIyY0C73RjxyMfnnFG7z7lhFuUxhtysX7Vf&#10;T9wajDbI8FQTlWa0TYP8QxYFyQQc2oXaJpagqc7+CFVkVEsjuV2hsggk5xll/g5wm7D36DaTlCjm&#10;7wLFMaork/l/Yene7ECjLIlxHyNBCnii6mv9sT6vbqq7+lP1o7qrrusv1W11WV2h+gxVP6vvoL+p&#10;z0GqrgDqQNfVBUBu68/gdukMd/C/AKzz86oG9c0LfVf2UpkhnD5RB7qVDGxdDedcF+4L1UFz/1SL&#10;7qnY3CIKytW1sL82wIiCKVpdD6OBixncOytt7GsmC+Q2MdZyKpJoAhc8BE74pyKzXWMbpyUYIri0&#10;mkT8zi5y5nLJxSHjUCc4OvLenqFsK9doRoBbybuwUackYY1q0INfm1WH9jn6YC4qz/K8i9sGcMz/&#10;PW6TY4t1bswTu3Ps/S2hxrFD+xOlsJ1jkQmpn3LObdgmzhv8sjBNOVxlTmSyAOZo2bSUUXQng0rv&#10;EmMPiIYegm6DuWD3YeG5LGMs2x1GqdQfntI7PFAbrBiV0JMxNu+nRDOM8jcCSP8q7PddE3uhP1iL&#10;QNAPLScPLWJabEl4mhAmkKJ+6/A2X265lsUxjI+xOxVMRFA4O8bU6qWwZZtZAQOIsvHYw6BxFbG7&#10;YqKoC+6q6vhzND8mWrV0s8DTPbnsXzJ8xLUG6zyFHE+t5Jkn4n1d23pD03vCtAPKTZWHskfdj9HR&#10;LwAAAP//AwBQSwMEFAAGAAgAAAAhAMkOLVLfAAAACQEAAA8AAABkcnMvZG93bnJldi54bWxMj8FO&#10;wzAQRO9I/IO1SNyonbQKJcSpAKkHxIlQRI9ubOKo8TrETpP+PcupHEf7NPO22MyuYyczhNajhGQh&#10;gBmsvW6xkbD72N6tgYWoUKvOo5FwNgE25fVVoXLtJ3w3pyo2jEow5EqCjbHPOQ+1NU6Fhe8N0u3b&#10;D05FikPD9aAmKncdT4XIuFMt0oJVvXmxpj5Wo5NQ/Zy3bnx9nnefyXFv99Nb/yXupby9mZ8egUUz&#10;xwsMf/qkDiU5HfyIOrCO8mqVESohfVgCIyAVywTYQUKWrYGXBf//QfkLAAD//wMAUEsBAi0AFAAG&#10;AAgAAAAhALaDOJL+AAAA4QEAABMAAAAAAAAAAAAAAAAAAAAAAFtDb250ZW50X1R5cGVzXS54bWxQ&#10;SwECLQAUAAYACAAAACEAOP0h/9YAAACUAQAACwAAAAAAAAAAAAAAAAAvAQAAX3JlbHMvLnJlbHNQ&#10;SwECLQAUAAYACAAAACEAfxwpeM0CAACOBQAADgAAAAAAAAAAAAAAAAAuAgAAZHJzL2Uyb0RvYy54&#10;bWxQSwECLQAUAAYACAAAACEAyQ4tUt8AAAAJAQAADwAAAAAAAAAAAAAAAAAnBQAAZHJzL2Rvd25y&#10;ZXYueG1sUEsFBgAAAAAEAAQA8wAAADMGAAAAAA==&#10;" path="m39688,l331787,v21919,,39688,17769,39688,39688l371475,238125r,l,238125r,l,39688c,17769,17769,,39688,xe" fillcolor="black [3200]" strokecolor="black [1600]" strokeweight="1pt">
                <v:stroke joinstyle="miter"/>
                <v:path arrowok="t" o:connecttype="custom" o:connectlocs="39688,0;331787,0;371475,39688;371475,238125;371475,238125;0,238125;0,238125;0,39688;39688,0" o:connectangles="0,0,0,0,0,0,0,0,0"/>
              </v:shape>
            </w:pict>
          </mc:Fallback>
        </mc:AlternateContent>
      </w:r>
    </w:p>
    <w:p w:rsidR="00547A0F" w:rsidRDefault="00547A0F" w:rsidP="00634005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243204</wp:posOffset>
                </wp:positionV>
                <wp:extent cx="990600" cy="1038225"/>
                <wp:effectExtent l="19050" t="1905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38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A9653" id="Скругленный прямоугольник 13" o:spid="_x0000_s1026" style="position:absolute;margin-left:373.05pt;margin-top:19.15pt;width:78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/l1wIAAOUFAAAOAAAAZHJzL2Uyb0RvYy54bWysVM1uEzEQviPxDpbvdHfTH9qomypqVYRU&#10;laot6tnx2tmVvLaxnWzCCYkjSDwDz4CQoKXlFTZvxNj70x8qkBA5OJ6dmW9mPs/M7t6iFGjOjC2U&#10;THGyFmPEJFVZIacpfn1++GwbI+uIzIhQkqV4ySzeGz19slvpIRuoXImMGQQg0g4rneLcOT2MIktz&#10;VhK7pjSToOTKlMSBaKZRZkgF6KWIBnG8FVXKZNooyqyFrweNEo8CPueMulecW+aQSDHk5sJpwjnx&#10;ZzTaJcOpITovaJsG+YcsSlJICNpDHRBH0MwUv0GVBTXKKu7WqCojxXlBWagBqkniB9Wc5USzUAuQ&#10;Y3VPk/1/sPR4fmJQkcHbrWMkSQlvVH+uL1fvVu/rL/VV/bW+rq9XH+rvqP4JHz/VP+qboLqpr1Yf&#10;QfmtvkTgC0RW2g4B70yfmFaycPWsLLgp/T/UixaB/GVPPls4ROHjzk68FcMTUVAl8fr2YLDpQaNb&#10;b22se8FUifwlxUbNZHYKLxyIJ/Mj6xr7zs5HtEoU2WEhRBB8V7F9YdCcQD9Mpkkb4Z6VkKhK8fp2&#10;Atn8DcItHoGAlIWEzD0fDQPh5paCeTwhTxkHyqHmQRPgflqEUiZd0qhykrEm280Yfl2+nUfgJwB6&#10;ZA519tgtQGfZgHTYDVGtvXdlYVZ657byPzn3HiGykq53LgupzGOVCaiqjdzYdyQ11HiWJipbQkMa&#10;1Uyq1fSwgNc+ItadEAOjCR0C68a9goMLBQ+l2htGuTJvH/vu7WFiQItRBaOeYvtmRgzDSLyUMEs7&#10;ycaG3w1B2Nh8PgDB3NVM7mrkrNxX0D0JLDZNw9XbO9FduVHlBWylsY8KKiIpxE4xdaYT9l2zgmCv&#10;UTYeBzPYB5q4I3mmqQf3rPpGPl9cEKPblncwLMeqWwtk+KDpG1vvKdV45hQvwkTc8tryDbskNE67&#10;9/yyuisHq9vtPPoFAAD//wMAUEsDBBQABgAIAAAAIQAZzHCl3gAAAAoBAAAPAAAAZHJzL2Rvd25y&#10;ZXYueG1sTI/LTsMwEEX3SPyDNUjsqO0UlZDGqSpEtn1RsXbiaRIR21HsNuHvGVawnJmjO+fmm9n2&#10;7IZj6LxTIBcCGLram841Cs4f5VMKLETtjO69QwXfGGBT3N/lOjN+cke8nWLDKMSFTCtoYxwyzkPd&#10;otVh4Qd0dLv40epI49hwM+qJwm3PEyFW3OrO0YdWD/jWYv11uloF7webyLPcbXfhszzM1bTHqdwr&#10;9fgwb9fAIs7xD4ZffVKHgpwqf3UmsF7By/NKEqpgmS6BEfAqElpUChIhU+BFzv9XKH4AAAD//wMA&#10;UEsBAi0AFAAGAAgAAAAhALaDOJL+AAAA4QEAABMAAAAAAAAAAAAAAAAAAAAAAFtDb250ZW50X1R5&#10;cGVzXS54bWxQSwECLQAUAAYACAAAACEAOP0h/9YAAACUAQAACwAAAAAAAAAAAAAAAAAvAQAAX3Jl&#10;bHMvLnJlbHNQSwECLQAUAAYACAAAACEAJuLP5dcCAADlBQAADgAAAAAAAAAAAAAAAAAuAgAAZHJz&#10;L2Uyb0RvYy54bWxQSwECLQAUAAYACAAAACEAGcxwpd4AAAAKAQAADwAAAAAAAAAAAAAAAAAxBQAA&#10;ZHJzL2Rvd25yZXYueG1sUEsFBgAAAAAEAAQA8wAAADwGAAAAAA==&#10;" fillcolor="white [3212]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233680</wp:posOffset>
                </wp:positionV>
                <wp:extent cx="1638300" cy="971550"/>
                <wp:effectExtent l="19050" t="19050" r="19050" b="19050"/>
                <wp:wrapNone/>
                <wp:docPr id="9" name="Прямоугольник с двумя скругленными соседними углами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round2Same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4A9A" id="Прямоугольник с двумя скругленными соседними углами 9" o:spid="_x0000_s1026" style="position:absolute;margin-left:152.55pt;margin-top:18.4pt;width:129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ip9gIAABgGAAAOAAAAZHJzL2Uyb0RvYy54bWysVN1O2zAUvp+0d7B8P9IUCrQiRRWIaRIC&#10;RJm4dh2nieTYnu027a427XKTeIS9wrQNCfH3DOkb7dhJWmBok6Yhkfr4fOc7vz47u7OcoynTJpMi&#10;wuFaCyMmqIwzMY7w27ODV9sYGUtETLgULMJzZvBu/+WLnUL1WFumksdMIyARpleoCKfWql4QGJqy&#10;nJg1qZgAZSJ1TiyIehzEmhTAnvOg3WptBoXUsdKSMmPgdr9S4r7nTxJG7XGSGGYRjzDEZv1X++/I&#10;fYP+DumNNVFpRuswyD9EkZNMgNMl1T6xBE109htVnlEtjUzsGpV5IJMko8znANmErSfZDFOimM8F&#10;imPUskzm/9HSo+mJRlkc4S5GguTQovLr4sPiorwt7xefyh/lfXmz+FLelVflNVp8ROXP8jvc3y4u&#10;QCqvAepAN+UlQO4Wn8Hsyinu4f8SsM7OX1Wob17ourIXyvTA+1Cd6FoycHQ1nCU6d79QHTTzrZov&#10;W8VmFlG4DDfXt9db0FEKuu5W2On4XgYra6WNfc1kjtwhwlpORNweQoanMBS+V2R6aCz4BqMG7Nwa&#10;ybP4IOPcC24Q2R7XaEpghOwsdLGDxSMUF6iI8Pp2CBH9jWI0foYCCLkAXleUqgz+ZOecOT4uTlkC&#10;XYLE25WDx2ERSpmwYaVKScyqaDst+GvibSx89J7QMSeQ55K7JmiQFUnDXaVd450p889raVxn/ifj&#10;pYX3LIVdGueZkPq5zDhkVXuu8E2RqtK4Ko1kPIcZ1rJ63EbRgwxafkiMPSEaXjNMCWwoewyfhEto&#10;lKxPGKVSv3/u3uHhkYEWowK2Q4TNuwnRDCP+RsDz64YbG26deGGjs9UGQT/UjB5qxCTfkzA9IexC&#10;Rf3R4S1vjomW+TkssoHzCioiKPiOMLW6EfZstbVgFVI2GHgYrBBF7KEYKurIXVXdIJ/NzolW9dxb&#10;eDFHstkkpPdk6CussxRyMLEyyfyLWNW1rjesHz849ap0++2h7FGrhd7/BQAA//8DAFBLAwQUAAYA&#10;CAAAACEASMj5PuEAAAAKAQAADwAAAGRycy9kb3ducmV2LnhtbEyPQUvEMBCF74L/IYzgzU3quqVb&#10;my4iK7jgIt0V9Jg2Y1tskpJkt/XfO570NjPv4817xWY2AzujD72zEpKFAIa2cbq3rYS349NNBixE&#10;ZbUanEUJ3xhgU15eFCrXbrIVng+xZWRiQ64kdDGOOeeh6dCosHAjWtI+nTcq0upbrr2ayNwM/FaI&#10;lBvVW/rQqREfO2y+Dicjofp43e3u9viebI/bl0lU62dfRymvr+aHe2AR5/gHw298ig4lZardyerA&#10;BglLsUoIpSGlCgSs0iUdaiKzdQa8LPj/CuUPAAAA//8DAFBLAQItABQABgAIAAAAIQC2gziS/gAA&#10;AOEBAAATAAAAAAAAAAAAAAAAAAAAAABbQ29udGVudF9UeXBlc10ueG1sUEsBAi0AFAAGAAgAAAAh&#10;ADj9If/WAAAAlAEAAAsAAAAAAAAAAAAAAAAALwEAAF9yZWxzLy5yZWxzUEsBAi0AFAAGAAgAAAAh&#10;AFII2Kn2AgAAGAYAAA4AAAAAAAAAAAAAAAAALgIAAGRycy9lMm9Eb2MueG1sUEsBAi0AFAAGAAgA&#10;AAAhAEjI+T7hAAAACgEAAA8AAAAAAAAAAAAAAAAAUAUAAGRycy9kb3ducmV2LnhtbFBLBQYAAAAA&#10;BAAEAPMAAABeBgAAAAA=&#10;" path="m161928,l1476372,v89430,,161928,72498,161928,161928l1638300,971550r,l,971550r,l,161928c,72498,72498,,161928,xe" fillcolor="black [3213]" strokecolor="white [3212]" strokeweight="3pt">
                <v:stroke joinstyle="miter"/>
                <v:path arrowok="t" o:connecttype="custom" o:connectlocs="161928,0;1476372,0;1638300,161928;1638300,971550;1638300,971550;0,971550;0,971550;0,161928;161928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224155</wp:posOffset>
                </wp:positionV>
                <wp:extent cx="1647825" cy="355282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52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6BE" w:rsidRDefault="006016BE" w:rsidP="00C11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51.8pt;margin-top:17.65pt;width:129.75pt;height:279.7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nEtAIAAGYFAAAOAAAAZHJzL2Uyb0RvYy54bWysVMFuEzEQvSPxD5bvdLMhaUvUTRW1KkKq&#10;2qgt6tnx2t0VXtvYTnbDCalHkPgGvgEhQUvLL2z+iLF3sy2lXBA5ODOemeeZtzOzs1sVAi2YsbmS&#10;CY43ehgxSVWay4sEvz47eLaNkXVEpkQoyRK8ZBbvjp8+2Sn1iPVVpkTKDAIQaUelTnDmnB5FkaUZ&#10;K4jdUJpJMHJlCuJANRdRakgJ6IWI+r3eZlQqk2qjKLMWbvcbIx4HfM4ZdcecW+aQSDDk5sJpwjnz&#10;ZzTeIaMLQ3SW0zYN8g9ZFCSX8GgHtU8cQXOT/wFV5NQoq7jboKqIFOc5ZaEGqCbuPajmNCOahVqA&#10;HKs7muz/g6VHi6lBeZrgIUaSFPCJ6s/11er96rL+Ul/XX+ub+mb1of6O6p9w+an+Ud8G0219vfoI&#10;xm/1FRp6GkttR4B2qqem1SyInpOKm8L/Q7WoCtQvO+pZ5RCFy3hzsLXdhxwo2J4Ph32vAE50F66N&#10;dS+ZKpAXEmzUXKYn8IED72RxaF3jv/aDYJ9Tk0WQ3FIwn4iQJ4xD0fBuP0SHdmN7wqAFgUZJ38TN&#10;dUZS1lwNe/BrE+q8Q3oBzKPyXIgOtwXwbfw7bpNj6+vDWOjSLrD3t4SawM47vKik6wKLXCrzWLBw&#10;cZs4b/zXxDR0eGZcNasA34szlS6hI4xqRsVqepAD34fEuikxMBswRTDv7hgOLlSZYNVKGGXKvHvs&#10;3vtDy4IVoxJmLcH27ZwYhpF4JaGZX8SDgR/OoAyGW31QzH3L7L5Fzos9BV8phs2iaRC9vxNrkRtV&#10;nMNamPhXwUQkhbcTTJ1ZK3uu2QGwWCibTIIbDKQm7lCeaurBPcG+lc6qc2J023QO+vVIreeSjB60&#10;XePrI6WazJ3ieejJO15b6mGYQ++0i8dvi/t68Lpbj+NfAAAA//8DAFBLAwQUAAYACAAAACEAusyH&#10;mN4AAAAKAQAADwAAAGRycy9kb3ducmV2LnhtbEyPy07DMBBF90j8gzVIbBC1Q2hUQpyqQqBuWJS2&#10;HzCNTRIRj6PYefD3DCvY3dEc3TlTbBfXickOofWkIVkpEJYqb1qqNZxPb/cbECEiGew8WQ3fNsC2&#10;vL4qMDd+pg87HWMtuIRCjhqaGPtcylA11mFY+d4S7z794DDyONTSDDhzuevkg1KZdNgSX2iwty+N&#10;rb6Oo9Ow30+4824kR8lhPNXzq7p7P2t9e7PsnkFEu8Q/GH71WR1Kdrr4kUwQnYZUpRmjHNYpCAbW&#10;WZqAuHB4etyALAv5/4XyBwAA//8DAFBLAQItABQABgAIAAAAIQC2gziS/gAAAOEBAAATAAAAAAAA&#10;AAAAAAAAAAAAAABbQ29udGVudF9UeXBlc10ueG1sUEsBAi0AFAAGAAgAAAAhADj9If/WAAAAlAEA&#10;AAsAAAAAAAAAAAAAAAAALwEAAF9yZWxzLy5yZWxzUEsBAi0AFAAGAAgAAAAhANGTmcS0AgAAZgUA&#10;AA4AAAAAAAAAAAAAAAAALgIAAGRycy9lMm9Eb2MueG1sUEsBAi0AFAAGAAgAAAAhALrMh5jeAAAA&#10;CgEAAA8AAAAAAAAAAAAAAAAADgUAAGRycy9kb3ducmV2LnhtbFBLBQYAAAAABAAEAPMAAAAZBgAA&#10;AAA=&#10;" fillcolor="black [3200]" strokecolor="black [1600]" strokeweight="1pt">
                <v:stroke joinstyle="miter"/>
                <v:textbox>
                  <w:txbxContent>
                    <w:p w:rsidR="006016BE" w:rsidRDefault="006016BE" w:rsidP="00C115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138430</wp:posOffset>
                </wp:positionV>
                <wp:extent cx="533400" cy="3648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4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3CCDF" id="Прямоугольник 2" o:spid="_x0000_s1026" style="position:absolute;margin-left:65.55pt;margin-top:10.9pt;width:42pt;height:28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f3fmQIAAD4FAAAOAAAAZHJzL2Uyb0RvYy54bWysVM1u1DAQviPxDpbvNNntbltWzVarVkVI&#10;VVvRop5dx24iHI+xvZtdTkhckXgEHoIL4qfPkH0jxk42LaVcEDk4tmfm88znb7x/sKwUWQjrStAZ&#10;HWyllAjNIS/1TUZfXx4/26PEeaZzpkCLjK6EowfTp0/2azMRQyhA5cISBNFuUpuMFt6bSZI4XoiK&#10;uS0wQqNRgq2Yx6W9SXLLakSvVDJM052kBpsbC1w4h7tHrZFOI76UgvszKZ3wRGUUc/NxtHG8DmMy&#10;3WeTG8tMUfIuDfYPWVSs1HhoD3XEPCNzW/4BVZXcggPptzhUCUhZchFrwGoG6YNqLgpmRKwFyXGm&#10;p8n9P1h+uji3pMwzOqREswqvqPm8fr/+1Pxobtcfmi/NbfN9/bH52XxtvpFh4Ks2boJhF+bcdiuH&#10;01D8Utoq/LEssowcr3qOxdITjpvj7e1RijfB0bS9M9pLd8cBNLmLNtb5FwIqEiYZtXiHkVq2OHG+&#10;dd24YFzIpj0/zvxKiZCC0q+ExLrwxGGMjooSh8qSBUMt5G8G7XbBctFujVP8ulx675hZBAuoslSq&#10;x+0AglJ/x21z7HxDmIhC7APTvyXUBvbe8UTQvg+sSg32sWDlB13isvXfENPSEZi5hnyFN22hbQFn&#10;+HGJ/J4w58+ZRc3jnWAf+zMcpII6o9DNKCnAvntsP/ijFNFKSY09lFH3ds6soES91CjS54PRKDRd&#10;XIzGu0Nc2PuW6/sWPa8OAa9mgC+G4XEa/L3aTKWF6grbfRZORRPTHM/OKPd2szj0bW/jg8HFbBbd&#10;sNEM8yf6wvAAHlgN+rlcXjFrOpF5lOcpbPqNTR5orfUNkRpmcw+yjEK847XjG5s0CqZ7UMIrcH8d&#10;ve6evekvAAAA//8DAFBLAwQUAAYACAAAACEAZ5tIHOAAAAAKAQAADwAAAGRycy9kb3ducmV2Lnht&#10;bEyPwU7DMBBE70j8g7VIXBB1nKoVhDhVqUC5pAdCP8CJTRIRryPbTQNfz3KC48w+zc7ku8WObDY+&#10;DA4liFUCzGDr9ICdhNP76/0DsBAVajU6NBK+TIBdcX2Vq0y7C76ZuY4doxAMmZLQxzhlnIe2N1aF&#10;lZsM0u3DeasiSd9x7dWFwu3I0yTZcqsGpA+9msyhN+1nfbYSvufmVJb7St0d60Ply/D8UnWLlLc3&#10;y/4JWDRL/IPhtz5Vh4I6Ne6MOrCR9FoIQiWkgiYQkIoNGY2EzeN2DbzI+f8JxQ8AAAD//wMAUEsB&#10;Ai0AFAAGAAgAAAAhALaDOJL+AAAA4QEAABMAAAAAAAAAAAAAAAAAAAAAAFtDb250ZW50X1R5cGVz&#10;XS54bWxQSwECLQAUAAYACAAAACEAOP0h/9YAAACUAQAACwAAAAAAAAAAAAAAAAAvAQAAX3JlbHMv&#10;LnJlbHNQSwECLQAUAAYACAAAACEAO5n935kCAAA+BQAADgAAAAAAAAAAAAAAAAAuAgAAZHJzL2Uy&#10;b0RvYy54bWxQSwECLQAUAAYACAAAACEAZ5tIHOAAAAAKAQAADwAAAAAAAAAAAAAAAADzBAAAZHJz&#10;L2Rvd25yZXYueG1sUEsFBgAAAAAEAAQA8wAAAAAGAAAAAA==&#10;" fillcolor="black [3200]" strokecolor="black [1600]" strokeweight="1pt"/>
            </w:pict>
          </mc:Fallback>
        </mc:AlternateContent>
      </w:r>
    </w:p>
    <w:p w:rsidR="00547A0F" w:rsidRDefault="00547A0F" w:rsidP="00634005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24765</wp:posOffset>
                </wp:positionV>
                <wp:extent cx="276225" cy="295275"/>
                <wp:effectExtent l="0" t="0" r="28575" b="285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69F33" id="Прямоугольник с двумя усеченными соседними углами 3" o:spid="_x0000_s1026" style="position:absolute;margin-left:76.05pt;margin-top:1.95pt;width:21.7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d0vgIAAG4FAAAOAAAAZHJzL2Uyb0RvYy54bWysVM1O3DAQvlfqO1i+l+wGFsqKLFqBqCoh&#10;ilgqzsax2aiJ7drezW5PRRx6aCUeoa9QtUVC5ecZnDfq2MkGSvdU9ZJ4PPPNn7+Zre1ZkaMp0yaT&#10;IsHdlQ5GTFCZZuIswW+P9168xMhYIlKSS8ESPGcGbw+eP9sqVZ/FcizzlGkEToTplyrBY2tVP4oM&#10;HbOCmBWpmAAll7ogFkR9FqWalOC9yKO401mPSqlTpSVlxsDtbq3Eg+Cfc0btG84NsyhPMORmw1eH&#10;76n/RoMt0j/TRI0z2qRB/iGLgmQCgraudoklaKKzv1wVGdXSSG5XqCwiyXlGWagBqul2nlQzGhPF&#10;Qi3QHKPaNpn/55YeTA81ytIEr2IkSAFP5L5WH6tLd+vuqwv3w927m+qLu3PX7heqzpH76b7D/W11&#10;iaqL6txdVZ/cFajvqs8AuQYTwME12HlMuPJubty3IKz6lpfK9CHySB3qRjJw9P2bcV34P3QGzcIz&#10;zdtnYjOLKFzGG+tx3MOIgire7MUbPe8zegArbewrJgvkDwk2IlPxCGo7AjqEVyLTfWNrzMIWHPis&#10;6jzCyc5z5lPJxRHj0CIfOaADOdlOrtGUAK0IpUzY9SaHYO1hPMvzFthdBsxttwE1th7GAmlbYGcZ&#10;8M+ILSJElcK24CITUi9zkL5rI9f2i+rrmn35pzKdAzO0rEfGKLqXQTf3ibGHRMOMwDTB3Ns38OG5&#10;LBMsmxNGY6k/LLv39kBd0GJUwszB07yfEM0wyl8LIPVmd23ND2kQ1nobMQj6seb0sUZMih0J/e/C&#10;hlE0HL29zRdHrmVxAuth6KOCiggKsRNMrV4IO7beBbBgKBsOgxkMpiJ2X4wU9c59Vz1JjmcnRKuG&#10;Uha4eCAX80n6TwhV23qkkMOJlTwLbHvoa9NvGOpA3GYB+a3xWA5WD2ty8BsAAP//AwBQSwMEFAAG&#10;AAgAAAAhAKTAfavfAAAACAEAAA8AAABkcnMvZG93bnJldi54bWxMj0FLw0AUhO9C/8PyCr3ZTVpT&#10;TMymiFBBigejhfa2yT6z0ezbkN2m8d+7PelxmGHmm3w7mY6NOLjWkoB4GQFDqq1qqRHw8b67vQfm&#10;vCQlO0so4AcdbIvZTS4zZS/0hmPpGxZKyGVSgPa+zzh3tUYj3dL2SMH7tIORPsih4WqQl1BuOr6K&#10;og03sqWwoGWPTxrr7/JsBKSnA8blvvoa++p1b5/16bj2L0Is5tPjAzCPk/8LwxU/oEMRmCp7JuVY&#10;F3SyikNUwDoFdvXTZAOsEpBEd8CLnP8/UPwCAAD//wMAUEsBAi0AFAAGAAgAAAAhALaDOJL+AAAA&#10;4QEAABMAAAAAAAAAAAAAAAAAAAAAAFtDb250ZW50X1R5cGVzXS54bWxQSwECLQAUAAYACAAAACEA&#10;OP0h/9YAAACUAQAACwAAAAAAAAAAAAAAAAAvAQAAX3JlbHMvLnJlbHNQSwECLQAUAAYACAAAACEA&#10;FSw3dL4CAABuBQAADgAAAAAAAAAAAAAAAAAuAgAAZHJzL2Uyb0RvYy54bWxQSwECLQAUAAYACAAA&#10;ACEApMB9q98AAAAIAQAADwAAAAAAAAAAAAAAAAAYBQAAZHJzL2Rvd25yZXYueG1sUEsFBgAAAAAE&#10;AAQA8wAAACQGAAAAAA==&#10;" path="m46038,l230187,r46038,46038l276225,295275r,l,295275r,l,46038,46038,xe" fillcolor="white [3201]" strokecolor="#70ad47 [3209]" strokeweight="1pt">
                <v:stroke joinstyle="miter"/>
                <v:path arrowok="t" o:connecttype="custom" o:connectlocs="46038,0;230187,0;276225,46038;276225,295275;276225,295275;0,295275;0,295275;0,46038;46038,0" o:connectangles="0,0,0,0,0,0,0,0,0"/>
              </v:shape>
            </w:pict>
          </mc:Fallback>
        </mc:AlternateContent>
      </w:r>
    </w:p>
    <w:p w:rsidR="00547A0F" w:rsidRDefault="00547A0F" w:rsidP="00634005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62865</wp:posOffset>
                </wp:positionV>
                <wp:extent cx="295275" cy="971550"/>
                <wp:effectExtent l="38100" t="19050" r="47625" b="19050"/>
                <wp:wrapNone/>
                <wp:docPr id="15" name="Трапец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971550"/>
                        </a:xfrm>
                        <a:prstGeom prst="trapezoid">
                          <a:avLst/>
                        </a:prstGeom>
                        <a:ln w="381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9400" id="Трапеция 15" o:spid="_x0000_s1026" style="position:absolute;margin-left:400pt;margin-top:4.95pt;width:23.2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CemQIAAEsFAAAOAAAAZHJzL2Uyb0RvYy54bWysVMFuEzEQvSPxD5bvdHdDQ9uomypqVYRU&#10;lYoW9ex67a6F12NsJ5v0xIkr/8AXcEHixi+kf8TYu9mGUi6IHDYznpk3M88zPjxaNposhPMKTEmL&#10;nZwSYThUytyW9P3V6Yt9SnxgpmIajCjpSnh6NH3+7LC1EzGCGnQlHEEQ4yetLWkdgp1kmee1aJjf&#10;ASsMGiW4hgVU3W1WOdYieqOzUZ6/ylpwlXXAhfd4etIZ6TThSyl4eCulF4HokmJtIX1d+t7EbzY9&#10;ZJNbx2yteF8G+4cqGqYMJh2gTlhgZO7UH1CN4g48yLDDoclASsVF6gG7KfJH3VzWzIrUC5Lj7UCT&#10;/3+w/Hxx4Yiq8O7GlBjW4B2tv95/Wn9b/1x/v/+8/nH/haAJeWqtn6D7pb1wveZRjE0vpWviP7ZD&#10;lonb1cCtWAbC8XB0MB7tYQqOpoO9YjxO3GcPwdb58FpAQ6JQ0oB3Iu5AVYlWtjjzAbOi/8YvJtSG&#10;tCV9uV/kHVossSsqSWGlRef2TkhsMpaR4NJ4iWPtyILhYFQfiu64ZpXojsY5/mLXmHHwTpo2CBZR&#10;pdJ6wO0B4tj+jttB9L4xTKSpHALzvxXUBQ7eKSOYMAQ2yoB7KliHoi9cdv5Y9hYdUbyBaoXX7qDb&#10;B2/5qULWz5gPF8zhAuCq4FKHt/iRGpBj6CVKanB3T51Hf5xLtFLS4uWV1H+cMyco0W8MTuxBsbsb&#10;NzApu+O9ESpu23KzbTHz5hjwagp8PixPYvQPeiNKB8017v4sZkUTMxxzl5QHt1GOQ7fo+HpwMZsl&#10;N9w6y8KZubQ8gkdW40BdLa+Zs5vRw5k9h83yscmj4et8Y6SB2TyAVGkyH3jt+caNTQPTvy7xSdjW&#10;k9fDGzj9BQAA//8DAFBLAwQUAAYACAAAACEAnnl6huEAAAAJAQAADwAAAGRycy9kb3ducmV2Lnht&#10;bEyPT0vDQBTE74LfYXmCN7uxakhiNqUIgv8itgribZt9JqHZt3F328Zv7/Okx2GGmd+Ui8kOYo8+&#10;9I4UnM8SEEiNMz21Ct5eb88yECFqMnpwhAq+McCiOj4qdWHcgVa4X8dWcAmFQivoYhwLKUPTodVh&#10;5kYk9j6dtzqy9K00Xh+43A5yniSptLonXuj0iDcdNtv1zip4eEnr+m7rnpfv9dPHdLHyX+7+UanT&#10;k2l5DSLiFP/C8IvP6FAx08btyAQxKMiShL9EBXkOgv3sMr0CseFgOs9BVqX8/6D6AQAA//8DAFBL&#10;AQItABQABgAIAAAAIQC2gziS/gAAAOEBAAATAAAAAAAAAAAAAAAAAAAAAABbQ29udGVudF9UeXBl&#10;c10ueG1sUEsBAi0AFAAGAAgAAAAhADj9If/WAAAAlAEAAAsAAAAAAAAAAAAAAAAALwEAAF9yZWxz&#10;Ly5yZWxzUEsBAi0AFAAGAAgAAAAhAGKeMJ6ZAgAASwUAAA4AAAAAAAAAAAAAAAAALgIAAGRycy9l&#10;Mm9Eb2MueG1sUEsBAi0AFAAGAAgAAAAhAJ55eobhAAAACQEAAA8AAAAAAAAAAAAAAAAA8wQAAGRy&#10;cy9kb3ducmV2LnhtbFBLBQYAAAAABAAEAPMAAAABBgAAAAA=&#10;" path="m,971550l73819,,221456,r73819,971550l,971550xe" fillcolor="black [3200]" strokecolor="black [1600]" strokeweight="3pt">
                <v:stroke joinstyle="miter"/>
                <v:path arrowok="t" o:connecttype="custom" o:connectlocs="0,971550;73819,0;221456,0;295275,971550;0,971550" o:connectangles="0,0,0,0,0"/>
              </v:shape>
            </w:pict>
          </mc:Fallback>
        </mc:AlternateContent>
      </w: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148590</wp:posOffset>
                </wp:positionV>
                <wp:extent cx="1933575" cy="2486025"/>
                <wp:effectExtent l="0" t="0" r="28575" b="28575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4860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6BE" w:rsidRDefault="006016BE" w:rsidP="00C115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0" o:spid="_x0000_s1027" style="position:absolute;left:0;text-align:left;margin-left:331.8pt;margin-top:11.7pt;width:152.25pt;height:19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3575,2486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934wIAALAFAAAOAAAAZHJzL2Uyb0RvYy54bWysVM1OGzEQvlfqO1i+l01CQiFigyIQVSUE&#10;CKg4O147WXXXdm3nryfanqpW4hH6Coj+CPHXV/C+UcfezUIpvVTNwfHMfPN5dv7WN2Z5hiZMm1SK&#10;GDeXGhgxQWWSimGMXx1tP1vFyFgiEpJJwWI8ZwZv9J4+WZ+qLmvJkcwSphGQCNOdqhiPrFXdKDJ0&#10;xHJilqRiAoxc6pxYEPUwSjSZAnueRa1GYyWaSp0oLSkzBrRbpRH3Aj/njNo9zg2zKIsxxGbDqcM5&#10;8GfUWyfdoSZqlNIqDPIPUeQkFfBoTbVFLEFjnf5BladUSyO5XaIyjyTnKWXhG+Brmo0HX3M4IoqF&#10;b4HkGFWnyfw/Wro72dcoTaB2kB5BcqiR+1KcFKfu2t0WH9xXd+uuis/uxl24S1S8Q+6bOwf9dXEK&#10;krsEqAddue8AuSk+gdsFcj+LE/B+Dz7n3h+MP9xZ8RFkb648zoIA70IRpsp0IZZDta8rycDVZ3TG&#10;de7/IVdoFgo3rwvHZhZRUDbXlpc7zzsYUbC12qsrjVbHs0Z37kob+4LJHPlLjLUci6S1lZLhAfRI&#10;KB2Z7BhbOi3AwOADK0MJNzvPmI8mEweMQ97g8VbwDh3LNjONJgR6LXndLNUjkrBS1WnAr4qqRocY&#10;A5ln5WmW1bwVgZ+E33nLGCusd2Oh0WvHxt8CKh1rdHhRCls75qmQ+jHnzDarwHmJXySmTIfPjJ0N&#10;ZmUfeaTXDGQyh97Sshw6o+h2CrnfIcbuEw1TBg0Hm8PuwcEzOY2xrG4YjaR++5je46H5wYrRFKY2&#10;xubNmGiGUfZSwFisNdttP+ZBaHeet0DQ9y2D+xYxzjclFKsJO0rRcPV4my2uXMv8GBZM378KJiIo&#10;vB1javVC2LTlNoEVRVm/H2Aw2orYHXGoqCf3efYddTQ7JlpVDWihd3flYsJJ90H3lVjvKWR/bCVP&#10;Q2ve5bWqAKyF0ELVCvN7574cUHeLtvcLAAD//wMAUEsDBBQABgAIAAAAIQB8ZIWh4QAAAAoBAAAP&#10;AAAAZHJzL2Rvd25yZXYueG1sTI/BTsMwEETvSPyDtUjcqJM2WGkap0IgJCQupXCgNydenEC8jmKn&#10;Tfl6zAmOq3maeVtuZ9uzI46+cyQhXSTAkBqnOzIS3l4fb3JgPijSqneEEs7oYVtdXpSq0O5EL3jc&#10;B8NiCflCSWhDGArOfdOiVX7hBqSYfbjRqhDP0XA9qlMstz1fJongVnUUF1o14H2Lzdd+shK+d+42&#10;P38+H0S6m+on3pj8/cFIeX01322ABZzDHwy/+lEdquhUu4m0Z70EIVYiohKWqwxYBNYiT4HVErI0&#10;WwOvSv7/heoHAAD//wMAUEsBAi0AFAAGAAgAAAAhALaDOJL+AAAA4QEAABMAAAAAAAAAAAAAAAAA&#10;AAAAAFtDb250ZW50X1R5cGVzXS54bWxQSwECLQAUAAYACAAAACEAOP0h/9YAAACUAQAACwAAAAAA&#10;AAAAAAAAAAAvAQAAX3JlbHMvLnJlbHNQSwECLQAUAAYACAAAACEACQVPd+MCAACwBQAADgAAAAAA&#10;AAAAAAAAAAAuAgAAZHJzL2Uyb0RvYy54bWxQSwECLQAUAAYACAAAACEAfGSFoeEAAAAKAQAADwAA&#10;AAAAAAAAAAAAAAA9BQAAZHJzL2Rvd25yZXYueG1sUEsFBgAAAAAEAAQA8wAAAEsGAAAAAA==&#10;" adj="-11796480,,5400" path="m322269,l1933575,r,l1933575,2163756v,177984,-144285,322269,-322269,322269l,2486025r,l,322269c,144285,144285,,322269,xe" fillcolor="black [3200]" strokecolor="black [1600]" strokeweight="1pt">
                <v:stroke joinstyle="miter"/>
                <v:formulas/>
                <v:path arrowok="t" o:connecttype="custom" o:connectlocs="322269,0;1933575,0;1933575,0;1933575,2163756;1611306,2486025;0,2486025;0,2486025;0,322269;322269,0" o:connectangles="0,0,0,0,0,0,0,0,0" textboxrect="0,0,1933575,2486025"/>
                <v:textbox>
                  <w:txbxContent>
                    <w:p w:rsidR="006016BE" w:rsidRDefault="006016BE" w:rsidP="00C115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  <w:rPr>
          <w:noProof/>
          <w:lang w:eastAsia="ru-RU"/>
        </w:rPr>
      </w:pPr>
    </w:p>
    <w:p w:rsidR="00547A0F" w:rsidRDefault="00547A0F" w:rsidP="00634005">
      <w:pPr>
        <w:jc w:val="center"/>
      </w:pPr>
    </w:p>
    <w:p w:rsidR="00B85E63" w:rsidRDefault="00B85E63" w:rsidP="00634005">
      <w:pPr>
        <w:jc w:val="center"/>
      </w:pPr>
    </w:p>
    <w:p w:rsidR="00B85E63" w:rsidRDefault="00B85E63" w:rsidP="00634005">
      <w:pPr>
        <w:jc w:val="center"/>
      </w:pPr>
    </w:p>
    <w:p w:rsidR="00634005" w:rsidRPr="00634005" w:rsidRDefault="00634005" w:rsidP="00634005">
      <w:pPr>
        <w:jc w:val="center"/>
      </w:pPr>
      <w:r w:rsidRPr="00634005">
        <w:t>МОСКВА 20</w:t>
      </w:r>
      <w:r>
        <w:t>20</w:t>
      </w:r>
    </w:p>
    <w:p w:rsidR="00634005" w:rsidRPr="00D40F04" w:rsidRDefault="00634005" w:rsidP="006340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34005" w:rsidRPr="00D40F04" w:rsidRDefault="00634005" w:rsidP="0063400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0F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54D20" w:rsidRPr="001A2E63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3</w:t>
      </w:r>
    </w:p>
    <w:p w:rsidR="00254D20" w:rsidRPr="001A2E63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</w:rPr>
        <w:t>II. Временной интервал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4</w:t>
      </w:r>
    </w:p>
    <w:p w:rsidR="00254D20" w:rsidRPr="001A2E63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. Продуктовые границы рынка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54D20" w:rsidRPr="001A2E63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. Географические границы рынка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B414D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54D20" w:rsidRPr="001A2E63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>. Определение состава хозяйствующих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B414D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254D20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>. Расчет объема товарного рынка и долей хозяйствующих субъектов</w:t>
      </w:r>
      <w:r w:rsidRPr="00B9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крупнооптовом рынке                                                    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7A43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414D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54D20" w:rsidRPr="00254D20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2E63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>. Расчет объема товарного рынка и долей хозяйствующих субъектов</w:t>
      </w:r>
      <w:r w:rsidRPr="00B96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оптовом рынке                                                            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1</w:t>
      </w:r>
      <w:r w:rsidR="006B414D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254D20" w:rsidRPr="00254D20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BE5">
        <w:rPr>
          <w:rFonts w:ascii="Times New Roman" w:hAnsi="Times New Roman" w:cs="Times New Roman"/>
          <w:color w:val="000000"/>
          <w:sz w:val="28"/>
          <w:szCs w:val="28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96B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458A9">
        <w:rPr>
          <w:rFonts w:ascii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уровня концентрации товарных рынков                                           1</w:t>
      </w:r>
      <w:r w:rsidR="00FA7164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254D20" w:rsidRPr="00254D20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A0E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барьеров входа на рынок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205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7164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54D20" w:rsidRPr="00254D20" w:rsidRDefault="00254D20" w:rsidP="00254D20">
      <w:pPr>
        <w:tabs>
          <w:tab w:val="right" w:leader="dot" w:pos="9345"/>
        </w:tabs>
        <w:autoSpaceDE w:val="0"/>
        <w:autoSpaceDN w:val="0"/>
        <w:adjustRightInd w:val="0"/>
        <w:spacing w:after="1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>. Оценка с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остояния конкуренции на товарных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        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1A2E6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7164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7D38F4" w:rsidRDefault="007D38F4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A22FDF" w:rsidRDefault="00A22FDF"/>
    <w:p w:rsidR="005824EB" w:rsidRDefault="005824EB"/>
    <w:p w:rsidR="005824EB" w:rsidRDefault="005824EB"/>
    <w:p w:rsidR="00A22FDF" w:rsidRDefault="00A22FDF"/>
    <w:p w:rsidR="0086180E" w:rsidRDefault="0086180E"/>
    <w:p w:rsidR="00A22FDF" w:rsidRDefault="00A22FDF"/>
    <w:p w:rsidR="00595F5C" w:rsidRDefault="00595F5C"/>
    <w:p w:rsidR="000B0AA7" w:rsidRPr="00421405" w:rsidRDefault="000B0AA7" w:rsidP="00421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0AA7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421405" w:rsidRPr="00595F5C" w:rsidRDefault="00421405" w:rsidP="00421405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val="en-US"/>
        </w:rPr>
      </w:pPr>
    </w:p>
    <w:p w:rsidR="00A22FDF" w:rsidRPr="00A22FDF" w:rsidRDefault="00A22FDF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антимонопольная служба в рамках реализации своих полномочий, на основании приказа ФАС России от 28.04.2010 № 220 «Об утверждении Порядка проведения анализа состояния конкуренции на товарном рынке» (далее – Порядок) провела анализ состояния конкуренции на оптовом рынке </w:t>
      </w:r>
      <w:proofErr w:type="spellStart"/>
      <w:r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22FDF">
        <w:rPr>
          <w:rFonts w:ascii="Times New Roman" w:hAnsi="Times New Roman" w:cs="Times New Roman"/>
          <w:sz w:val="28"/>
          <w:szCs w:val="28"/>
        </w:rPr>
        <w:t xml:space="preserve"> </w:t>
      </w:r>
      <w:r w:rsidR="007D4BCF" w:rsidRPr="003E7E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D4BCF" w:rsidRPr="003E7E42">
        <w:rPr>
          <w:rFonts w:ascii="Times New Roman" w:hAnsi="Times New Roman" w:cs="Times New Roman"/>
          <w:sz w:val="28"/>
          <w:szCs w:val="28"/>
        </w:rPr>
        <w:t>никотиносодержащий</w:t>
      </w:r>
      <w:proofErr w:type="spellEnd"/>
      <w:r w:rsidR="007D4BCF" w:rsidRPr="003E7E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D4BCF" w:rsidRPr="003E7E42">
        <w:rPr>
          <w:rFonts w:ascii="Times New Roman" w:hAnsi="Times New Roman" w:cs="Times New Roman"/>
          <w:sz w:val="28"/>
          <w:szCs w:val="28"/>
        </w:rPr>
        <w:t>никотинсодержащай</w:t>
      </w:r>
      <w:proofErr w:type="spellEnd"/>
      <w:r w:rsidR="007D4BCF" w:rsidRPr="003E7E42">
        <w:rPr>
          <w:rFonts w:ascii="Times New Roman" w:hAnsi="Times New Roman" w:cs="Times New Roman"/>
          <w:sz w:val="28"/>
          <w:szCs w:val="28"/>
        </w:rPr>
        <w:t xml:space="preserve"> далее по тексту имеют идентичное значение)</w:t>
      </w:r>
      <w:r w:rsidR="007D4BCF">
        <w:rPr>
          <w:rFonts w:ascii="Times New Roman" w:hAnsi="Times New Roman" w:cs="Times New Roman"/>
          <w:sz w:val="28"/>
          <w:szCs w:val="28"/>
        </w:rPr>
        <w:t xml:space="preserve"> </w:t>
      </w:r>
      <w:r w:rsidRPr="00A22FDF">
        <w:rPr>
          <w:rFonts w:ascii="Times New Roman" w:hAnsi="Times New Roman" w:cs="Times New Roman"/>
          <w:sz w:val="28"/>
          <w:szCs w:val="28"/>
        </w:rPr>
        <w:t>продукции и устройств, предназначенных для потребления никотина способами, отличными от курения табака</w:t>
      </w:r>
      <w:r w:rsidR="00D12558">
        <w:rPr>
          <w:rFonts w:ascii="Times New Roman" w:hAnsi="Times New Roman" w:cs="Times New Roman"/>
          <w:sz w:val="28"/>
          <w:szCs w:val="28"/>
        </w:rPr>
        <w:t xml:space="preserve"> (далее – оптовый рынок ЭСДН)</w:t>
      </w: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FDF" w:rsidRPr="00A22FDF" w:rsidRDefault="00A22FDF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проводился Контрольно-финансовым управлением ФАС России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Управление) самостоятельно.</w:t>
      </w:r>
    </w:p>
    <w:p w:rsidR="00A22FDF" w:rsidRPr="00A22FDF" w:rsidRDefault="00A22FDF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DF">
        <w:rPr>
          <w:rFonts w:ascii="Times New Roman" w:hAnsi="Times New Roman"/>
          <w:sz w:val="28"/>
          <w:szCs w:val="28"/>
        </w:rPr>
        <w:t xml:space="preserve">Целью исследования является анализ и оценка состояния конкуренции на оптовом рынке </w:t>
      </w:r>
      <w:proofErr w:type="spellStart"/>
      <w:r w:rsidRPr="00A22FDF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Pr="00A22FDF">
        <w:rPr>
          <w:rFonts w:ascii="Times New Roman" w:hAnsi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</w:t>
      </w:r>
      <w:r w:rsidR="007659AB">
        <w:rPr>
          <w:rFonts w:ascii="Times New Roman" w:hAnsi="Times New Roman"/>
          <w:sz w:val="28"/>
          <w:szCs w:val="28"/>
        </w:rPr>
        <w:t>,</w:t>
      </w:r>
      <w:r w:rsidRPr="00A22FDF">
        <w:rPr>
          <w:rFonts w:ascii="Times New Roman" w:hAnsi="Times New Roman"/>
          <w:sz w:val="28"/>
          <w:szCs w:val="28"/>
        </w:rPr>
        <w:t xml:space="preserve"> и выявление хозяйствующих субъектов, занимающих доминирующее положение.</w:t>
      </w:r>
    </w:p>
    <w:p w:rsidR="00A22FDF" w:rsidRPr="00A22FDF" w:rsidRDefault="00A22FDF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DF">
        <w:rPr>
          <w:rFonts w:ascii="Times New Roman" w:hAnsi="Times New Roman"/>
          <w:sz w:val="28"/>
          <w:szCs w:val="28"/>
        </w:rPr>
        <w:t xml:space="preserve">Анализ и оценка состояния конкуренции на оптовом рынке </w:t>
      </w:r>
      <w:proofErr w:type="spellStart"/>
      <w:r w:rsidRPr="00A22FDF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Pr="00A22FDF">
        <w:rPr>
          <w:rFonts w:ascii="Times New Roman" w:hAnsi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</w:t>
      </w:r>
      <w:r w:rsidR="00465FE9">
        <w:rPr>
          <w:rFonts w:ascii="Times New Roman" w:hAnsi="Times New Roman"/>
          <w:sz w:val="28"/>
          <w:szCs w:val="28"/>
        </w:rPr>
        <w:t>,</w:t>
      </w:r>
      <w:r w:rsidRPr="00A22FDF">
        <w:rPr>
          <w:rFonts w:ascii="Times New Roman" w:hAnsi="Times New Roman"/>
          <w:sz w:val="28"/>
          <w:szCs w:val="28"/>
        </w:rPr>
        <w:t xml:space="preserve"> и установление доминирующего положения хозяйствующих субъектов (далее – Аналитическое исследование) осуществля</w:t>
      </w:r>
      <w:r w:rsidR="00465FE9">
        <w:rPr>
          <w:rFonts w:ascii="Times New Roman" w:hAnsi="Times New Roman"/>
          <w:sz w:val="28"/>
          <w:szCs w:val="28"/>
        </w:rPr>
        <w:t>лось</w:t>
      </w:r>
      <w:r w:rsidRPr="00A22FDF">
        <w:rPr>
          <w:rFonts w:ascii="Times New Roman" w:hAnsi="Times New Roman"/>
          <w:sz w:val="28"/>
          <w:szCs w:val="28"/>
        </w:rPr>
        <w:t xml:space="preserve"> Управлением в соответствии с:</w:t>
      </w:r>
    </w:p>
    <w:p w:rsidR="00A22FDF" w:rsidRPr="00A22FDF" w:rsidRDefault="00A22FDF" w:rsidP="000F04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DF">
        <w:rPr>
          <w:rFonts w:ascii="Times New Roman" w:hAnsi="Times New Roman"/>
          <w:sz w:val="28"/>
          <w:szCs w:val="28"/>
        </w:rPr>
        <w:t>Федеральным законом от 26.07.2006 № 135-ФЗ «О защите конкуренции» (далее - Закон о защите конкуренции);</w:t>
      </w:r>
    </w:p>
    <w:p w:rsidR="00A22FDF" w:rsidRPr="00A22FDF" w:rsidRDefault="00A22FDF" w:rsidP="000F04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DF">
        <w:rPr>
          <w:rFonts w:ascii="Times New Roman" w:hAnsi="Times New Roman"/>
          <w:sz w:val="28"/>
          <w:szCs w:val="28"/>
        </w:rPr>
        <w:t xml:space="preserve">Порядком проведения анализа состояния конкуренции на товарном рынке, утвержденным приказом ФАС России от 28.04.2010 № 220 «Об утверждении Порядка проведения анализа состояния конкуренции на товарном </w:t>
      </w:r>
      <w:proofErr w:type="gramStart"/>
      <w:r w:rsidRPr="00A22FDF">
        <w:rPr>
          <w:rFonts w:ascii="Times New Roman" w:hAnsi="Times New Roman"/>
          <w:sz w:val="28"/>
          <w:szCs w:val="28"/>
        </w:rPr>
        <w:t xml:space="preserve">рынке» </w:t>
      </w:r>
      <w:r w:rsidR="00A40B78" w:rsidRPr="00A40B7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A40B78" w:rsidRPr="00A40B78">
        <w:rPr>
          <w:rFonts w:ascii="Times New Roman" w:hAnsi="Times New Roman"/>
          <w:sz w:val="28"/>
          <w:szCs w:val="28"/>
        </w:rPr>
        <w:t xml:space="preserve">                     </w:t>
      </w:r>
      <w:r w:rsidRPr="00A22FDF">
        <w:rPr>
          <w:rFonts w:ascii="Times New Roman" w:hAnsi="Times New Roman"/>
          <w:sz w:val="28"/>
          <w:szCs w:val="28"/>
        </w:rPr>
        <w:t>(далее - Порядок);</w:t>
      </w:r>
    </w:p>
    <w:p w:rsidR="00A22FDF" w:rsidRPr="00A22FDF" w:rsidRDefault="00A22FDF" w:rsidP="000F04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FDF">
        <w:rPr>
          <w:rFonts w:ascii="Times New Roman" w:hAnsi="Times New Roman"/>
          <w:sz w:val="28"/>
          <w:szCs w:val="28"/>
        </w:rPr>
        <w:t>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концентрацией, утвержденным приказом ФАС России от 25.05.2012 № 345 «Об утверждении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заявлений, материалов, дел о нарушении антимонопольного законодательства и при осуществлении государственного контроля за экономической концентрацией».</w:t>
      </w:r>
    </w:p>
    <w:p w:rsidR="00A22FDF" w:rsidRPr="00A22FDF" w:rsidRDefault="00A22FDF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DF">
        <w:rPr>
          <w:rFonts w:ascii="Times New Roman" w:hAnsi="Times New Roman"/>
          <w:sz w:val="28"/>
          <w:szCs w:val="28"/>
        </w:rPr>
        <w:t>Для разработки Аналитического исследования Управление провело комплекс мер по сбору и обработке необходимой информации в соответствии с пунктом 1.5 Порядка.</w:t>
      </w:r>
    </w:p>
    <w:p w:rsidR="00A22FDF" w:rsidRPr="00A22FDF" w:rsidRDefault="00A22FDF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исследования использовалась информация и материалы, полученные ФАС России от: </w:t>
      </w:r>
    </w:p>
    <w:p w:rsidR="00A22FDF" w:rsidRPr="00A22FDF" w:rsidRDefault="00A22FDF" w:rsidP="000F04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22F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таможенной службы (ФТС России);</w:t>
      </w:r>
    </w:p>
    <w:p w:rsidR="00A22FDF" w:rsidRPr="00A22FDF" w:rsidRDefault="00A22FDF" w:rsidP="000F047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хозяйствующих субъектов, действующих на рынке оптовой реализации </w:t>
      </w:r>
      <w:proofErr w:type="spellStart"/>
      <w:r w:rsidR="00465FE9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465FE9" w:rsidRPr="00A22FDF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</w:t>
      </w:r>
      <w:r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FDF" w:rsidRPr="00A22FDF" w:rsidRDefault="000B0AA7" w:rsidP="007C3AF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75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2FDF" w:rsidRPr="00A22F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Экспертного совета при ФАС России по развитию конкуренции на рынке табачной продукции.</w:t>
      </w:r>
    </w:p>
    <w:p w:rsidR="00A22FDF" w:rsidRDefault="00A22FDF" w:rsidP="007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A7" w:rsidRDefault="000B0AA7" w:rsidP="00421405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A7">
        <w:rPr>
          <w:rFonts w:ascii="Times New Roman" w:hAnsi="Times New Roman"/>
          <w:b/>
          <w:sz w:val="28"/>
          <w:szCs w:val="28"/>
        </w:rPr>
        <w:t>Временной интервал исследования товарного рынка.</w:t>
      </w:r>
    </w:p>
    <w:p w:rsidR="00421405" w:rsidRDefault="00421405" w:rsidP="00421405">
      <w:pPr>
        <w:pStyle w:val="ListParagraph"/>
        <w:widowControl w:val="0"/>
        <w:suppressAutoHyphens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0B0AA7" w:rsidRDefault="000B0AA7" w:rsidP="007C3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12DB">
        <w:rPr>
          <w:rFonts w:ascii="Times New Roman" w:hAnsi="Times New Roman"/>
          <w:sz w:val="28"/>
          <w:szCs w:val="28"/>
        </w:rPr>
        <w:t xml:space="preserve">В соответствии с приказом ФАС России </w:t>
      </w:r>
      <w:r>
        <w:rPr>
          <w:rFonts w:ascii="Times New Roman" w:hAnsi="Times New Roman"/>
          <w:sz w:val="28"/>
          <w:szCs w:val="28"/>
        </w:rPr>
        <w:t>от 29.12.2018 № 1929/18</w:t>
      </w:r>
      <w:r w:rsidR="006F5FF3">
        <w:rPr>
          <w:rFonts w:ascii="Times New Roman" w:hAnsi="Times New Roman"/>
          <w:sz w:val="28"/>
          <w:szCs w:val="28"/>
        </w:rPr>
        <w:t xml:space="preserve"> </w:t>
      </w:r>
      <w:r w:rsidRPr="003912DB">
        <w:rPr>
          <w:rFonts w:ascii="Times New Roman" w:hAnsi="Times New Roman"/>
          <w:sz w:val="28"/>
          <w:szCs w:val="28"/>
        </w:rPr>
        <w:t>«О плане работы по анализу состояния конкуренции на товарных рынках на 201</w:t>
      </w:r>
      <w:r>
        <w:rPr>
          <w:rFonts w:ascii="Times New Roman" w:hAnsi="Times New Roman"/>
          <w:sz w:val="28"/>
          <w:szCs w:val="28"/>
        </w:rPr>
        <w:t>9</w:t>
      </w:r>
      <w:r w:rsidRPr="003912D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3912DB">
        <w:rPr>
          <w:rFonts w:ascii="Times New Roman" w:hAnsi="Times New Roman"/>
          <w:sz w:val="28"/>
          <w:szCs w:val="28"/>
        </w:rPr>
        <w:t xml:space="preserve"> годы» анализируемым временным интервалом исследования оптового рынка </w:t>
      </w:r>
      <w:proofErr w:type="spellStart"/>
      <w:r w:rsidRPr="00596A11">
        <w:rPr>
          <w:rFonts w:ascii="Times New Roman" w:hAnsi="Times New Roman"/>
          <w:sz w:val="28"/>
          <w:szCs w:val="28"/>
        </w:rPr>
        <w:t>никотиносодержащей</w:t>
      </w:r>
      <w:proofErr w:type="spellEnd"/>
      <w:r w:rsidRPr="00596A11">
        <w:rPr>
          <w:rFonts w:ascii="Times New Roman" w:hAnsi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11">
        <w:rPr>
          <w:rFonts w:ascii="Times New Roman" w:hAnsi="Times New Roman"/>
          <w:sz w:val="28"/>
          <w:szCs w:val="28"/>
        </w:rPr>
        <w:t>от курения табака</w:t>
      </w:r>
      <w:r w:rsidR="007659AB">
        <w:rPr>
          <w:rFonts w:ascii="Times New Roman" w:hAnsi="Times New Roman"/>
          <w:sz w:val="28"/>
          <w:szCs w:val="28"/>
        </w:rPr>
        <w:t>,</w:t>
      </w:r>
      <w:r w:rsidRPr="00596A11">
        <w:rPr>
          <w:rFonts w:ascii="Times New Roman" w:hAnsi="Times New Roman"/>
          <w:sz w:val="28"/>
          <w:szCs w:val="28"/>
        </w:rPr>
        <w:t xml:space="preserve"> </w:t>
      </w:r>
      <w:r w:rsidRPr="003912DB">
        <w:rPr>
          <w:rFonts w:ascii="Times New Roman" w:hAnsi="Times New Roman"/>
          <w:sz w:val="28"/>
          <w:szCs w:val="28"/>
        </w:rPr>
        <w:t xml:space="preserve">принимается </w:t>
      </w:r>
      <w:r w:rsidR="00381F6F" w:rsidRPr="001A2E63">
        <w:rPr>
          <w:rFonts w:ascii="Times New Roman" w:hAnsi="Times New Roman" w:cs="Times New Roman"/>
          <w:sz w:val="28"/>
          <w:szCs w:val="28"/>
        </w:rPr>
        <w:t xml:space="preserve">период - </w:t>
      </w:r>
      <w:r w:rsidR="00381F6F">
        <w:rPr>
          <w:rFonts w:ascii="Times New Roman" w:hAnsi="Times New Roman" w:cs="Times New Roman"/>
          <w:sz w:val="28"/>
          <w:szCs w:val="28"/>
        </w:rPr>
        <w:t>два</w:t>
      </w:r>
      <w:r w:rsidR="00381F6F" w:rsidRPr="001A2E63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381F6F">
        <w:rPr>
          <w:rFonts w:ascii="Times New Roman" w:hAnsi="Times New Roman" w:cs="Times New Roman"/>
          <w:sz w:val="28"/>
          <w:szCs w:val="28"/>
        </w:rPr>
        <w:t>ых</w:t>
      </w:r>
      <w:r w:rsidR="00381F6F" w:rsidRPr="001A2E63">
        <w:rPr>
          <w:rFonts w:ascii="Times New Roman" w:hAnsi="Times New Roman" w:cs="Times New Roman"/>
          <w:sz w:val="28"/>
          <w:szCs w:val="28"/>
        </w:rPr>
        <w:t xml:space="preserve"> год</w:t>
      </w:r>
      <w:r w:rsidR="00381F6F">
        <w:rPr>
          <w:rFonts w:ascii="Times New Roman" w:hAnsi="Times New Roman" w:cs="Times New Roman"/>
          <w:sz w:val="28"/>
          <w:szCs w:val="28"/>
        </w:rPr>
        <w:t>а</w:t>
      </w:r>
      <w:r w:rsidR="007A436C">
        <w:rPr>
          <w:rFonts w:ascii="Times New Roman" w:hAnsi="Times New Roman" w:cs="Times New Roman"/>
          <w:sz w:val="28"/>
          <w:szCs w:val="28"/>
        </w:rPr>
        <w:t>:</w:t>
      </w:r>
      <w:r w:rsidR="00381F6F" w:rsidRPr="001A2E63">
        <w:rPr>
          <w:rFonts w:ascii="Times New Roman" w:hAnsi="Times New Roman" w:cs="Times New Roman"/>
          <w:sz w:val="28"/>
          <w:szCs w:val="28"/>
        </w:rPr>
        <w:t xml:space="preserve"> с </w:t>
      </w:r>
      <w:r w:rsidR="00381F6F">
        <w:rPr>
          <w:rFonts w:ascii="Times New Roman" w:hAnsi="Times New Roman" w:cs="Times New Roman"/>
          <w:sz w:val="28"/>
          <w:szCs w:val="28"/>
        </w:rPr>
        <w:t>01.01.</w:t>
      </w:r>
      <w:r w:rsidR="00465FE9">
        <w:rPr>
          <w:rFonts w:ascii="Times New Roman" w:hAnsi="Times New Roman"/>
          <w:sz w:val="28"/>
          <w:szCs w:val="28"/>
        </w:rPr>
        <w:t>2018</w:t>
      </w:r>
      <w:r w:rsidR="00381F6F">
        <w:rPr>
          <w:rFonts w:ascii="Times New Roman" w:hAnsi="Times New Roman"/>
          <w:sz w:val="28"/>
          <w:szCs w:val="28"/>
        </w:rPr>
        <w:t xml:space="preserve"> по 31.12.2018 и с 01.01.</w:t>
      </w:r>
      <w:r>
        <w:rPr>
          <w:rFonts w:ascii="Times New Roman" w:hAnsi="Times New Roman"/>
          <w:sz w:val="28"/>
          <w:szCs w:val="28"/>
        </w:rPr>
        <w:t>2019</w:t>
      </w:r>
      <w:r w:rsidR="00381F6F">
        <w:rPr>
          <w:rFonts w:ascii="Times New Roman" w:hAnsi="Times New Roman"/>
          <w:sz w:val="28"/>
          <w:szCs w:val="28"/>
        </w:rPr>
        <w:t xml:space="preserve"> по 31.12.2019</w:t>
      </w:r>
      <w:r w:rsidR="00381F6F" w:rsidRPr="00381F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81F6F" w:rsidRPr="001A2E6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="00381F6F" w:rsidRPr="001A2E6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далее – исследуемый период времени)</w:t>
      </w:r>
      <w:r w:rsidR="00465FE9">
        <w:rPr>
          <w:rFonts w:ascii="Times New Roman" w:hAnsi="Times New Roman"/>
          <w:sz w:val="28"/>
          <w:szCs w:val="28"/>
        </w:rPr>
        <w:t>.</w:t>
      </w:r>
    </w:p>
    <w:p w:rsidR="00A22FDF" w:rsidRDefault="00A22FDF" w:rsidP="007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A7" w:rsidRPr="00421405" w:rsidRDefault="000B0AA7" w:rsidP="004214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B0AA7">
        <w:rPr>
          <w:rFonts w:ascii="Times New Roman" w:hAnsi="Times New Roman"/>
          <w:b/>
          <w:sz w:val="28"/>
          <w:szCs w:val="28"/>
        </w:rPr>
        <w:t>Продуктовые границы товарного рынка.</w:t>
      </w:r>
    </w:p>
    <w:p w:rsidR="00421405" w:rsidRPr="000B0AA7" w:rsidRDefault="00421405" w:rsidP="00421405">
      <w:pPr>
        <w:pStyle w:val="ListParagraph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val="en-US"/>
        </w:rPr>
      </w:pP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Предварительное определение товара, подлежащего исследованию, проводилось в соответствии с пункт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ом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 3.4 Порядка.</w:t>
      </w:r>
    </w:p>
    <w:p w:rsidR="000B0AA7" w:rsidRDefault="00465FE9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отметить, что рынок инновационной </w:t>
      </w:r>
      <w:proofErr w:type="spellStart"/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и устройств, предназначенных для ее потребления, на котором обращается товар, подлежащий исследованию, стремительно развивается и на федеральном уровне в настоящее время нет комплексного подхода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установлению государственного регулирования в отношении всех видов такой продукции, как уже обращающихся на рынке (электронных систем доставки никотина и систем нагревания табака), так и тех, которые потенциально могут быть введены в оборот в перспективе.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соответствии с Общероссийским классификатором продукции по видам экономической деятельности ОК 034-2014 (КПЕС 2008), утвержденным приказом </w:t>
      </w:r>
      <w:proofErr w:type="spell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Росстандарта</w:t>
      </w:r>
      <w:proofErr w:type="spellEnd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31.01.2014 № 14-ст, рассматриваемая инновационная </w:t>
      </w:r>
      <w:proofErr w:type="spell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никотиносодержащая</w:t>
      </w:r>
      <w:proofErr w:type="spellEnd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относится к 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классу 12 - «Изделия табачные».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по сравнению с иными видами изделий, включенными в состав данной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классификационной группы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 рассматриваемая продукция обладает рядом отличительных свойств, определяющих выбор покупателя.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22.12.2008 № 268-ФЗ «Технический регламент на табачную продукцию» табачными изделиями являются продукты, полностью или частично изготовленные из табачного листа в качестве сырьевого материала, приготовленного таким образом, чтобы использовать для курения, рассасывания, жевания или нюханья.</w:t>
      </w:r>
    </w:p>
    <w:p w:rsid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В соответствии с </w:t>
      </w:r>
      <w:r w:rsidR="005E2C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fldChar w:fldCharType="begin"/>
      </w:r>
      <w:r w:rsidR="005E2C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instrText xml:space="preserve"> HYPERLINK "consultantplus://offline/ref=344FB7FA2BBA35D8ACA3C091B9DDCA513D0F7BB48656F547CCC49D48BED22CCEA937D7EF5CA6650DK8f9S" </w:instrText>
      </w:r>
      <w:r w:rsidR="005E2C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fldChar w:fldCharType="separate"/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подпунктом </w:t>
      </w:r>
      <w:r w:rsidR="00C56C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пункта 1 статьи 2</w:t>
      </w:r>
      <w:r w:rsidR="005E2C4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fldChar w:fldCharType="end"/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C56CA5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Федеральн</w:t>
      </w:r>
      <w:r w:rsidR="00C5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6CA5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закон</w:t>
      </w:r>
      <w:r w:rsidR="00C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  </w:t>
      </w:r>
      <w:r w:rsidR="00C56CA5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от 23.02.2013 </w:t>
      </w:r>
      <w:r w:rsidR="00C56C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6CA5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15-ФЗ (ред. от 31.07.2020) </w:t>
      </w:r>
      <w:r w:rsidR="00C56C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6CA5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Об охране здоровья граждан </w:t>
      </w:r>
      <w:r w:rsidR="00A40B7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   </w:t>
      </w:r>
      <w:r w:rsidR="00C56CA5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от воздействия окружающего табачного дыма, последствий потребления табака или потребления никотинсодержащей продукции</w:t>
      </w:r>
      <w:r w:rsidR="00C56CA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 № 15)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471C59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lastRenderedPageBreak/>
        <w:t>курением табака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признается применение табачных изделий в целях вдыхания дыма, возникающего от их тления.</w:t>
      </w:r>
    </w:p>
    <w:p w:rsidR="00471C59" w:rsidRDefault="000B0AA7" w:rsidP="00471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В результате тления образуется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который и поглощается лицом, использующим табачные изделия.</w:t>
      </w:r>
    </w:p>
    <w:p w:rsidR="00471C59" w:rsidRPr="007659AB" w:rsidRDefault="00471C59" w:rsidP="00471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8 пункта 1 статьи 2 Федерального Закона № 15 </w:t>
      </w:r>
      <w:r w:rsidRPr="007659AB">
        <w:rPr>
          <w:rFonts w:ascii="Times New Roman" w:hAnsi="Times New Roman" w:cs="Times New Roman"/>
          <w:b/>
          <w:sz w:val="28"/>
          <w:szCs w:val="28"/>
        </w:rPr>
        <w:t>потреблением табака</w:t>
      </w:r>
      <w:r w:rsidRPr="007659AB">
        <w:rPr>
          <w:rFonts w:ascii="Times New Roman" w:hAnsi="Times New Roman" w:cs="Times New Roman"/>
          <w:sz w:val="28"/>
          <w:szCs w:val="28"/>
        </w:rPr>
        <w:t xml:space="preserve"> признается курение табака, сосание, жевание, нюханье табачных изделий.</w:t>
      </w:r>
    </w:p>
    <w:p w:rsidR="00471C59" w:rsidRPr="007659AB" w:rsidRDefault="00C56CA5" w:rsidP="00471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3 пункта 1 статьи 2 Федерального закона № 15 </w:t>
      </w:r>
      <w:proofErr w:type="spellStart"/>
      <w:r w:rsidRPr="007659A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7659AB">
        <w:rPr>
          <w:rFonts w:ascii="Times New Roman" w:hAnsi="Times New Roman" w:cs="Times New Roman"/>
          <w:b/>
          <w:sz w:val="28"/>
          <w:szCs w:val="28"/>
        </w:rPr>
        <w:t xml:space="preserve"> продукцией</w:t>
      </w:r>
      <w:r w:rsidRPr="007659AB">
        <w:rPr>
          <w:rFonts w:ascii="Times New Roman" w:hAnsi="Times New Roman" w:cs="Times New Roman"/>
          <w:sz w:val="28"/>
          <w:szCs w:val="28"/>
        </w:rPr>
        <w:t xml:space="preserve"> признаются изделия, которые содержат никотин (в том числе полученный путем синтеза) или его производные, включая соли никотина, предназначены для потребления никотина и его доставки посредством сосания, жевания, нюханья или вдыхания, в том числе изделия с нагреваемым табаком, растворы, жидкости или гели с содержанием жидкого никотина в объеме не менее 0,1 мг/мл,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жидкость, порошки, смеси для сосания, жевания, нюханья, и не предназначены для употребления в пищу (за исключением медицинских изделий и лекарственных средств, зарегистрированных в соответствии с законодательством Российской Федерации, пищевой продукции, содержащей никотин в натуральном виде, и табачных изделий)</w:t>
      </w:r>
      <w:r w:rsidR="00471C59" w:rsidRPr="007659AB">
        <w:rPr>
          <w:rFonts w:ascii="Times New Roman" w:hAnsi="Times New Roman" w:cs="Times New Roman"/>
          <w:sz w:val="28"/>
          <w:szCs w:val="28"/>
        </w:rPr>
        <w:t>.</w:t>
      </w:r>
    </w:p>
    <w:p w:rsidR="00471C59" w:rsidRPr="007659AB" w:rsidRDefault="00C56CA5" w:rsidP="00471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4 пункта 1 статьи 2 Федерального закона № 15 </w:t>
      </w:r>
      <w:proofErr w:type="spellStart"/>
      <w:r w:rsidR="00471C59" w:rsidRPr="007659A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="00471C59" w:rsidRPr="007659AB">
        <w:rPr>
          <w:rFonts w:ascii="Times New Roman" w:hAnsi="Times New Roman" w:cs="Times New Roman"/>
          <w:b/>
          <w:sz w:val="28"/>
          <w:szCs w:val="28"/>
        </w:rPr>
        <w:t xml:space="preserve"> жидкостью</w:t>
      </w:r>
      <w:r w:rsidRPr="007659AB">
        <w:rPr>
          <w:rFonts w:ascii="Times New Roman" w:hAnsi="Times New Roman" w:cs="Times New Roman"/>
          <w:sz w:val="28"/>
          <w:szCs w:val="28"/>
        </w:rPr>
        <w:t xml:space="preserve"> </w:t>
      </w:r>
      <w:r w:rsidR="00471C59" w:rsidRPr="007659AB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Pr="007659AB">
        <w:rPr>
          <w:rFonts w:ascii="Times New Roman" w:hAnsi="Times New Roman" w:cs="Times New Roman"/>
          <w:sz w:val="28"/>
          <w:szCs w:val="28"/>
        </w:rPr>
        <w:t xml:space="preserve">любая жидкость с содержанием никотина в объеме не менее 0,1 мг/мл, а также жидкость без содержания никотина или с его минимальным содержанием менее 0,1 мг/мл, предназначенная для использования в устройствах для потребления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продукции, в том числе в электронных системах доставки никотина</w:t>
      </w:r>
      <w:r w:rsidR="00471C59" w:rsidRPr="007659AB">
        <w:rPr>
          <w:rFonts w:ascii="Times New Roman" w:hAnsi="Times New Roman" w:cs="Times New Roman"/>
          <w:sz w:val="28"/>
          <w:szCs w:val="28"/>
        </w:rPr>
        <w:t>.</w:t>
      </w:r>
    </w:p>
    <w:p w:rsidR="00471C59" w:rsidRDefault="00471C59" w:rsidP="00471C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5 пункта 1 статьи 2 Федерального закона № 15 </w:t>
      </w:r>
      <w:r w:rsidRPr="007659AB">
        <w:rPr>
          <w:rFonts w:ascii="Times New Roman" w:hAnsi="Times New Roman" w:cs="Times New Roman"/>
          <w:b/>
          <w:sz w:val="28"/>
          <w:szCs w:val="28"/>
        </w:rPr>
        <w:t xml:space="preserve">пищевой </w:t>
      </w:r>
      <w:proofErr w:type="spellStart"/>
      <w:r w:rsidRPr="007659A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7659AB">
        <w:rPr>
          <w:rFonts w:ascii="Times New Roman" w:hAnsi="Times New Roman" w:cs="Times New Roman"/>
          <w:b/>
          <w:sz w:val="28"/>
          <w:szCs w:val="28"/>
        </w:rPr>
        <w:t xml:space="preserve"> продукцией</w:t>
      </w:r>
      <w:r w:rsidRPr="007659AB">
        <w:rPr>
          <w:rFonts w:ascii="Times New Roman" w:hAnsi="Times New Roman" w:cs="Times New Roman"/>
          <w:sz w:val="28"/>
          <w:szCs w:val="28"/>
        </w:rPr>
        <w:t xml:space="preserve"> признается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никотинсодержащая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продукция, которая предназначена для употребления в пищу и по наименованию либо </w:t>
      </w:r>
      <w:r w:rsidR="00A40B78" w:rsidRPr="00A40B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659AB">
        <w:rPr>
          <w:rFonts w:ascii="Times New Roman" w:hAnsi="Times New Roman" w:cs="Times New Roman"/>
          <w:sz w:val="28"/>
          <w:szCs w:val="28"/>
        </w:rPr>
        <w:t>с использованием визуального, органолептического или аналитического метода может быть идентифицирована как пищевая продукция (за исключением пищевой продукции, содержащей никотин в натуральном виде).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 соответствии с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58109-2018 «Жидкости для электронных систем доставки никотина» и ГОСТ Р 57458-2017 «Табак нагреваемый», разработанными Федеральным государственным бюджетным научным учреждением «Всероссийский научно-исследовательский институт табака, махорки и табачных изделий» (ФГБНУ ВНИИТТИ), утвержденными приказом Федерального агентства по техническому регулированию и метрологии, выделяются следующие виды инновационной </w:t>
      </w:r>
      <w:proofErr w:type="spell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продукции:</w:t>
      </w:r>
    </w:p>
    <w:p w:rsidR="009F1C52" w:rsidRDefault="00463D6F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B0AA7">
        <w:rPr>
          <w:rFonts w:ascii="Times" w:eastAsia="DejaVu Sans" w:hAnsi="Times" w:cs="Times New Roman"/>
          <w:kern w:val="1"/>
          <w:sz w:val="24"/>
          <w:szCs w:val="24"/>
          <w:lang w:val="ro-RO" w:eastAsia="ar-SA"/>
        </w:rPr>
        <w:t>  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 нагреваемый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предназначенный для потребления исключительно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устройством для нагревания </w:t>
      </w:r>
      <w:r w:rsidR="000B0AA7"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вдыхания </w:t>
      </w:r>
      <w:proofErr w:type="spellStart"/>
      <w:r w:rsidR="000B0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никотиносодержащего</w:t>
      </w:r>
      <w:proofErr w:type="spellEnd"/>
      <w:r w:rsidR="00526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 (аэрозоля),</w:t>
      </w:r>
      <w:r w:rsidR="000B0AA7"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образующегося при его нагревании без горения и тления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0B0AA7">
        <w:rPr>
          <w:rFonts w:ascii="Times" w:eastAsia="DejaVu Sans" w:hAnsi="Times" w:cs="Times New Roman"/>
          <w:kern w:val="1"/>
          <w:sz w:val="24"/>
          <w:szCs w:val="24"/>
          <w:lang w:val="ro-RO" w:eastAsia="ar-SA"/>
        </w:rPr>
        <w:t>  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для электронных систем доставки никотина</w:t>
      </w:r>
      <w:r w:rsidRPr="000B0A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жидкостей, содержащих табак или относящихся к лекарственным средствам.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роцесс нагревания специальной жидкости (продукции) и перевод ее </w:t>
      </w:r>
      <w:r w:rsidR="00A40B7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                              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в парообразное (мелкодисперсное) состояние не является процессом тления или горения, в результате которого образуется дым.</w:t>
      </w:r>
    </w:p>
    <w:p w:rsidR="009F1C52" w:rsidRDefault="000B0AA7" w:rsidP="009F1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результате нагревания специальной жидкости посредством электронных испарителей (электронных сигарет) 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не происходит беспламенного горения материала, а жидкость (продукция) лишь изменяет свое агрегатное состояние, превращаясь в пар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.</w:t>
      </w:r>
    </w:p>
    <w:p w:rsidR="009F1C52" w:rsidRPr="007659AB" w:rsidRDefault="009F1C52" w:rsidP="009F1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подпункту 9 пункта 1 статьи 2 Федерального закона № 15 </w:t>
      </w:r>
      <w:r w:rsidRPr="007659AB">
        <w:rPr>
          <w:rFonts w:ascii="Times New Roman" w:hAnsi="Times New Roman" w:cs="Times New Roman"/>
          <w:b/>
          <w:sz w:val="28"/>
          <w:szCs w:val="28"/>
        </w:rPr>
        <w:t xml:space="preserve">потреблением </w:t>
      </w:r>
      <w:proofErr w:type="spellStart"/>
      <w:r w:rsidRPr="007659A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7659AB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Pr="007659AB">
        <w:rPr>
          <w:rFonts w:ascii="Times New Roman" w:hAnsi="Times New Roman" w:cs="Times New Roman"/>
          <w:sz w:val="28"/>
          <w:szCs w:val="28"/>
        </w:rPr>
        <w:t xml:space="preserve"> признается сосание, жевание, нюханье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изделий либо вдыхание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никотинсодержащего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аэрозоля, пара, получаемых путем их нагревания при помощи устройств для потребления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763953" w:rsidRPr="00B75CAD" w:rsidRDefault="009F1C52" w:rsidP="00B75C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рассматриваемая инновационная </w:t>
      </w:r>
      <w:proofErr w:type="spellStart"/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никотиносодержащая</w:t>
      </w:r>
      <w:proofErr w:type="spellEnd"/>
      <w:r w:rsidR="000B0AA7"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предназначена для потребления исключительно со специальными устройствами, </w:t>
      </w:r>
      <w:r w:rsidR="000B0AA7" w:rsidRPr="000B0AA7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преобразующими данную продукци</w:t>
      </w:r>
      <w:r w:rsidR="000B037B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ю</w:t>
      </w:r>
      <w:r w:rsidR="000B0AA7" w:rsidRPr="000B0AA7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 в пар (аэрозоль) путём нагревания (далее – Системы доставки никотина, СДН)</w:t>
      </w:r>
      <w:r w:rsidR="00763953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, что указывает </w:t>
      </w:r>
      <w:r w:rsidR="00A40B78" w:rsidRPr="00A40B78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                                      </w:t>
      </w:r>
      <w:r w:rsidR="00763953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об </w:t>
      </w:r>
      <w:r w:rsidR="00763953" w:rsidRPr="004C2362">
        <w:rPr>
          <w:rFonts w:ascii="Times" w:eastAsia="DejaVu Sans" w:hAnsi="Times" w:cs="Times New Roman"/>
          <w:b/>
          <w:kern w:val="1"/>
          <w:sz w:val="28"/>
          <w:szCs w:val="24"/>
          <w:u w:val="single"/>
          <w:lang w:eastAsia="ar-SA"/>
        </w:rPr>
        <w:t>исключительной взаимосвязанности ИНП и СДН</w:t>
      </w:r>
      <w:r w:rsidR="00763953" w:rsidRPr="00F53CD6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.</w:t>
      </w:r>
      <w:r w:rsidR="002507D3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 </w:t>
      </w:r>
      <w:r w:rsidR="00B75CAD"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Существование </w:t>
      </w:r>
      <w:r w:rsidR="002507D3"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рын</w:t>
      </w:r>
      <w:r w:rsidR="00B75CAD"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07D3"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5CAD" w:rsidRPr="00250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взаимообусловлено. Объем реализации СНД и ИНП не могут выходить за пределы взаимного спроса на каждый из этих товаров.</w:t>
      </w:r>
    </w:p>
    <w:p w:rsidR="009F1C52" w:rsidRDefault="009F1C52" w:rsidP="009F1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B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В соответствии с подпунктом 12 пункта 1 статьи 2 Федерального закона № 15 </w:t>
      </w:r>
      <w:r w:rsidRPr="007659AB">
        <w:rPr>
          <w:rFonts w:ascii="Times New Roman" w:hAnsi="Times New Roman" w:cs="Times New Roman"/>
          <w:b/>
          <w:sz w:val="28"/>
          <w:szCs w:val="28"/>
        </w:rPr>
        <w:t xml:space="preserve">устройствами для потребления </w:t>
      </w:r>
      <w:proofErr w:type="spellStart"/>
      <w:r w:rsidRPr="007659AB">
        <w:rPr>
          <w:rFonts w:ascii="Times New Roman" w:hAnsi="Times New Roman" w:cs="Times New Roman"/>
          <w:b/>
          <w:sz w:val="28"/>
          <w:szCs w:val="28"/>
        </w:rPr>
        <w:t>никотинсодержащей</w:t>
      </w:r>
      <w:proofErr w:type="spellEnd"/>
      <w:r w:rsidRPr="007659AB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Pr="007659AB">
        <w:rPr>
          <w:rFonts w:ascii="Times New Roman" w:hAnsi="Times New Roman" w:cs="Times New Roman"/>
          <w:sz w:val="28"/>
          <w:szCs w:val="28"/>
        </w:rPr>
        <w:t xml:space="preserve"> признаются электронные или иные приборы, которые используются для получения </w:t>
      </w:r>
      <w:proofErr w:type="spellStart"/>
      <w:r w:rsidRPr="007659AB">
        <w:rPr>
          <w:rFonts w:ascii="Times New Roman" w:hAnsi="Times New Roman" w:cs="Times New Roman"/>
          <w:sz w:val="28"/>
          <w:szCs w:val="28"/>
        </w:rPr>
        <w:t>никотинсодержащего</w:t>
      </w:r>
      <w:proofErr w:type="spellEnd"/>
      <w:r w:rsidRPr="007659AB">
        <w:rPr>
          <w:rFonts w:ascii="Times New Roman" w:hAnsi="Times New Roman" w:cs="Times New Roman"/>
          <w:sz w:val="28"/>
          <w:szCs w:val="28"/>
        </w:rPr>
        <w:t xml:space="preserve"> аэрозоля, пара, вдыхаемых потребителем, в том числе электронные системы доставки никотина и устройства для нагревания табака</w:t>
      </w:r>
      <w:r w:rsidR="00D116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659AB">
        <w:rPr>
          <w:rFonts w:ascii="Times New Roman" w:hAnsi="Times New Roman" w:cs="Times New Roman"/>
          <w:sz w:val="28"/>
          <w:szCs w:val="28"/>
        </w:rPr>
        <w:t xml:space="preserve"> </w:t>
      </w:r>
      <w:r w:rsidRPr="007659AB">
        <w:rPr>
          <w:rFonts w:ascii="Times New Roman" w:hAnsi="Times New Roman" w:cs="Times New Roman"/>
          <w:sz w:val="28"/>
          <w:szCs w:val="28"/>
          <w:u w:val="single"/>
        </w:rPr>
        <w:t>(за исключением медицинских изделий и лекарственных средств, зарегистрированных в соответствии с законодательством Российской Федерации)</w:t>
      </w:r>
      <w:r w:rsidRPr="007659AB">
        <w:rPr>
          <w:rFonts w:ascii="Times New Roman" w:hAnsi="Times New Roman" w:cs="Times New Roman"/>
          <w:sz w:val="28"/>
          <w:szCs w:val="28"/>
        </w:rPr>
        <w:t>.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Выделяют следующие виды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СДН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:</w:t>
      </w:r>
    </w:p>
    <w:p w:rsidR="000B0AA7" w:rsidRPr="000B0AA7" w:rsidRDefault="000B0AA7" w:rsidP="000F047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0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0B0AA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лектронная система доставки никотина</w:t>
      </w:r>
      <w:r w:rsidRPr="000B0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0AA7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(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ЭСДН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электронное устройство, используемое для преобразования жидкости для ЭСДН в аэрозоль,</w:t>
      </w:r>
      <w:r w:rsidR="005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вдыхается потребителем.</w:t>
      </w:r>
    </w:p>
    <w:p w:rsidR="000B0AA7" w:rsidRPr="000B0AA7" w:rsidRDefault="000B0AA7" w:rsidP="000F0479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B0A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система нагревания табака (ЭСНТ) </w:t>
      </w:r>
      <w:r w:rsidRPr="000B0AA7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приспособление или прибор, предназначенное для использования </w:t>
      </w:r>
      <w:proofErr w:type="gram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нагреваемым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обеспечивающее его прямое или косвенное нагревание без горения или тления для образования </w:t>
      </w:r>
      <w:proofErr w:type="spellStart"/>
      <w:r w:rsidR="00526F09" w:rsidRPr="00526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никотиносодержащего</w:t>
      </w:r>
      <w:proofErr w:type="spellEnd"/>
      <w:r w:rsidR="00526F09" w:rsidRPr="005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(аэрозоля)</w:t>
      </w:r>
      <w:r w:rsidRPr="0052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Все эти системы можно объединить по одному общему принципу действия</w:t>
      </w:r>
      <w:r w:rsidR="00465FE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</w:t>
      </w:r>
      <w:r w:rsidRPr="000B0AA7">
        <w:rPr>
          <w:rFonts w:ascii="Times New Roman" w:eastAsia="DejaVu Sans" w:hAnsi="Times New Roman" w:cs="Times New Roman"/>
          <w:kern w:val="1"/>
          <w:sz w:val="28"/>
          <w:lang w:eastAsia="ar-SA"/>
        </w:rPr>
        <w:t xml:space="preserve"> </w:t>
      </w:r>
      <w:r w:rsidR="00A40B78" w:rsidRPr="00A40B78">
        <w:rPr>
          <w:rFonts w:ascii="Times New Roman" w:eastAsia="DejaVu Sans" w:hAnsi="Times New Roman" w:cs="Times New Roman"/>
          <w:kern w:val="1"/>
          <w:sz w:val="28"/>
          <w:lang w:eastAsia="ar-SA"/>
        </w:rPr>
        <w:t xml:space="preserve">                      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в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 связи</w:t>
      </w:r>
      <w:r w:rsidR="00465FE9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 с чем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>, в данн</w:t>
      </w:r>
      <w:r w:rsidR="002A189C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ом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 </w:t>
      </w:r>
      <w:r w:rsidR="001373DF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аналитическом исследовании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 используется термин СДН – система доставки никотина, как общее понятие, объединяющее все подобные системы.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</w:pP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Под СДН 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следует понимать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 устройство, необходимое для эксплуатации никотиносодержащей продукции с целью получения из наполнителя аэрозоля, 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lastRenderedPageBreak/>
        <w:t xml:space="preserve">вдыхаемого потребителем, в том числе электронный испаритель, электронная сигарета, электронный генератор пара, устройство для нагревания и иные устройства. СДН может быть конструктивно соединена с никотиносодержащей продукцией </w:t>
      </w:r>
      <w:r w:rsidR="00A40B78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                      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в одноразовое устройство. 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Таким образом, в отличие от традиционных курительных и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некурительных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табачных изделий (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табак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жевательный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,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сосательный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 и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нюхательный) табак нагреваемый и жидкости для электронных систем доставки никотина используются исключительно при помощи СДН и в результате их применения образуется не табачный дым, а </w:t>
      </w:r>
      <w:proofErr w:type="spellStart"/>
      <w:r w:rsidR="00526F0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никотиносодержащий</w:t>
      </w:r>
      <w:proofErr w:type="spellEnd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пар (аэрозоль), вырабатывающийся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в результате нагревания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o-RO" w:eastAsia="ar-SA"/>
        </w:rPr>
        <w:t>табачной смеси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 (</w:t>
      </w:r>
      <w:proofErr w:type="spellStart"/>
      <w:r w:rsidRPr="000B0AA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никотиносодержащей</w:t>
      </w:r>
      <w:proofErr w:type="spellEnd"/>
      <w:r w:rsidRPr="000B0AA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 xml:space="preserve"> жидкости)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ro-RO" w:eastAsia="ar-SA"/>
        </w:rPr>
        <w:t xml:space="preserve"> без ее горения (тления)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ar-SA"/>
        </w:rPr>
        <w:t>.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В настоящее время на рассматриваемом рынке обращаются следующие виды инновационной </w:t>
      </w:r>
      <w:proofErr w:type="spellStart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никотиносодержащей</w:t>
      </w:r>
      <w:proofErr w:type="spellEnd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продукции: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стики</w:t>
      </w:r>
      <w:proofErr w:type="spellEnd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с табаком</w:t>
      </w:r>
      <w:proofErr w:type="gramEnd"/>
      <w:r w:rsidR="00526F09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526F09"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нагреваемым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(используются исключительно с 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val="ro-RO" w:eastAsia="ar-SA"/>
        </w:rPr>
        <w:t>ЭСНТ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);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- ка</w:t>
      </w:r>
      <w:r w:rsidR="007659AB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р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 xml:space="preserve">триджи с </w:t>
      </w:r>
      <w:proofErr w:type="spellStart"/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никотиносодержащей</w:t>
      </w:r>
      <w:proofErr w:type="spellEnd"/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 xml:space="preserve"> жидкостью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(используются исключительно с 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val="ro-RO" w:eastAsia="ar-SA"/>
        </w:rPr>
        <w:t>ЭСДН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);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- </w:t>
      </w:r>
      <w:proofErr w:type="spellStart"/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никотиносодержащие</w:t>
      </w:r>
      <w:proofErr w:type="spellEnd"/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 xml:space="preserve"> жидкости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(используются исключительно с 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val="ro-RO" w:eastAsia="ar-SA"/>
        </w:rPr>
        <w:t>ЭСДН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);</w:t>
      </w:r>
    </w:p>
    <w:p w:rsidR="000B0AA7" w:rsidRPr="000B0AA7" w:rsidRDefault="000B0AA7" w:rsidP="000F0479">
      <w:pPr>
        <w:widowControl w:val="0"/>
        <w:suppressAutoHyphens/>
        <w:spacing w:after="0" w:line="240" w:lineRule="auto"/>
        <w:ind w:firstLine="709"/>
        <w:jc w:val="both"/>
        <w:rPr>
          <w:rFonts w:ascii="Times" w:eastAsia="DejaVu Sans" w:hAnsi="Times" w:cs="Times New Roman"/>
          <w:kern w:val="1"/>
          <w:sz w:val="28"/>
          <w:szCs w:val="24"/>
          <w:lang w:eastAsia="ar-SA"/>
        </w:rPr>
      </w:pP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-</w:t>
      </w:r>
      <w:r w:rsidR="00AC7569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 </w:t>
      </w:r>
      <w:r w:rsidRPr="000B0AA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ar-SA"/>
        </w:rPr>
        <w:t>одноразовые электронные сигареты (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СДН конструктивно соединена </w:t>
      </w:r>
      <w:r w:rsidR="00A40B78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                              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 xml:space="preserve">с </w:t>
      </w:r>
      <w:proofErr w:type="spellStart"/>
      <w:r w:rsidR="00526F09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никотиносодержащей</w:t>
      </w:r>
      <w:proofErr w:type="spellEnd"/>
      <w:r w:rsidR="00526F09">
        <w:rPr>
          <w:rFonts w:ascii="Times" w:eastAsia="DejaVu Sans" w:hAnsi="Times" w:cs="Times New Roman"/>
          <w:kern w:val="1"/>
          <w:sz w:val="28"/>
          <w:szCs w:val="24"/>
          <w:lang w:eastAsia="ar-SA"/>
        </w:rPr>
        <w:t xml:space="preserve"> 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val="ro-RO" w:eastAsia="ar-SA"/>
        </w:rPr>
        <w:t>продукцией в одноразовое устройство</w:t>
      </w:r>
      <w:r w:rsidRPr="000B0AA7">
        <w:rPr>
          <w:rFonts w:ascii="Times" w:eastAsia="DejaVu Sans" w:hAnsi="Times" w:cs="Times New Roman"/>
          <w:kern w:val="1"/>
          <w:sz w:val="28"/>
          <w:szCs w:val="24"/>
          <w:lang w:eastAsia="ar-SA"/>
        </w:rPr>
        <w:t>).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бщими принципами, которые позволяют классифицировать такую продукцию как отдельную категорию и выделить ее из иных потребительских товаров</w:t>
      </w:r>
      <w:r w:rsidR="00137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:</w:t>
      </w:r>
    </w:p>
    <w:p w:rsidR="000B0AA7" w:rsidRPr="000B0AA7" w:rsidRDefault="000B0AA7" w:rsidP="000F047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никотина;</w:t>
      </w:r>
    </w:p>
    <w:p w:rsidR="000B0AA7" w:rsidRPr="000B0AA7" w:rsidRDefault="000B0AA7" w:rsidP="000F047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аэрозоля, содержащего никотин или соли никотина, вдыхаемого потребителем;</w:t>
      </w:r>
    </w:p>
    <w:p w:rsidR="000B0AA7" w:rsidRPr="000B0AA7" w:rsidRDefault="000B0AA7" w:rsidP="000F047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горения (тления) табака, способ потребления - нагревание;</w:t>
      </w:r>
    </w:p>
    <w:p w:rsidR="000B0AA7" w:rsidRPr="000B0AA7" w:rsidRDefault="000B0AA7" w:rsidP="000F047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 специальными устройствами – </w:t>
      </w:r>
      <w:r w:rsidR="00526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СДН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Продукты, подлежащие исследованию, могут содержать или не содержать табак, но все они содержат никотин и по этому объединяющему признаку их можно отнести к одному виду продукции – </w:t>
      </w:r>
      <w:proofErr w:type="spell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все инновационные </w:t>
      </w:r>
      <w:proofErr w:type="spell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никотиносодержащие</w:t>
      </w:r>
      <w:proofErr w:type="spellEnd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отличаются </w:t>
      </w:r>
      <w:r w:rsidR="009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других традиционных табачных изделий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потребления. От традиционных курительных табачных изделий эта продукция отличается тем,</w:t>
      </w:r>
      <w:r w:rsidR="009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она потребляется путем вдыхания аэрозоля или пара, образующихся не в результате горения и тления, а в результате нагревания табачной смеси или </w:t>
      </w:r>
      <w:proofErr w:type="spellStart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никотиносодержащей</w:t>
      </w:r>
      <w:proofErr w:type="spellEnd"/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и, следовательно, эта продукция не сопоставима по своим техническим характеристикам и свойствам с традиционными курительными табачными изделиями. </w:t>
      </w:r>
    </w:p>
    <w:p w:rsidR="000B0AA7" w:rsidRPr="000B0AA7" w:rsidRDefault="000B0AA7" w:rsidP="000F0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рассматриваемая продукция не сопоставима с традиционными табачными изделиями и по цене.</w:t>
      </w:r>
    </w:p>
    <w:p w:rsidR="004531DF" w:rsidRDefault="000B0AA7" w:rsidP="000F047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Так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, в соответствии со сведениями о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минимальных и максимальных розничных ценах </w:t>
      </w:r>
      <w:r w:rsidR="006F5FF3"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на табачные изделия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, размещенн</w:t>
      </w:r>
      <w:proofErr w:type="spellStart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ыми</w:t>
      </w:r>
      <w:proofErr w:type="spellEnd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 на сайте ФНС России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средняя цена </w:t>
      </w:r>
      <w:r w:rsidR="00A40B78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                  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за пачку сигарет составляет 125 рублей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4531DF" w:rsidRDefault="000B0AA7" w:rsidP="000F047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При этом средняя цена </w:t>
      </w:r>
      <w:r w:rsidR="009B09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одной потребительской упаковки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инновационной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lastRenderedPageBreak/>
        <w:t>никотиносодержащей продукции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vertAlign w:val="superscript"/>
          <w:lang w:val="ro-RO" w:eastAsia="ar-SA"/>
        </w:rPr>
        <w:footnoteReference w:id="3"/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 xml:space="preserve"> составляет 200 рублей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, а СДН – </w:t>
      </w:r>
      <w:r w:rsidR="00E454FE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24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00 рублей.</w:t>
      </w:r>
    </w:p>
    <w:p w:rsidR="000B0AA7" w:rsidRPr="000B0AA7" w:rsidRDefault="000B0AA7" w:rsidP="000F047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Таким образом, цена за </w:t>
      </w:r>
      <w:r w:rsidR="009B09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одну потребительскую упаковку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инновационной </w:t>
      </w:r>
      <w:proofErr w:type="spellStart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никотиносодержащей</w:t>
      </w:r>
      <w:proofErr w:type="spellEnd"/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продукции, которая по сути не является для покупателя конечным продуктом, позволяющим удовлетворить его потребность в получении никотина,</w:t>
      </w:r>
      <w:r w:rsidR="009B09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без использования СДН превышает 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val="ro-RO" w:eastAsia="ar-SA"/>
        </w:rPr>
        <w:t>10 процентов от цены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традиционных курительных изделий, которые являются продуктом</w:t>
      </w:r>
      <w:r w:rsidR="007659A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,</w:t>
      </w:r>
      <w:r w:rsidRPr="000B0AA7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готовым к потреблению.</w:t>
      </w:r>
      <w:r w:rsidR="009B09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Для новых потребителей инновационной </w:t>
      </w:r>
      <w:proofErr w:type="spellStart"/>
      <w:r w:rsidR="009B09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никотиносодержащей</w:t>
      </w:r>
      <w:proofErr w:type="spellEnd"/>
      <w:r w:rsidR="009B09F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продукции разница в цене будет еще более существенной за счет необходимости приобретения СДН.</w:t>
      </w:r>
    </w:p>
    <w:p w:rsidR="000B0AA7" w:rsidRPr="00CA4545" w:rsidRDefault="000B0AA7" w:rsidP="000F04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Следовательно, при проведении анализа продуктовыми границами исследуемого рынка следует считать 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набор в виде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инновационных </w:t>
      </w:r>
      <w:proofErr w:type="spellStart"/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никотиносодержащих</w:t>
      </w:r>
      <w:proofErr w:type="spellEnd"/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продуктов и </w:t>
      </w:r>
      <w:r w:rsidR="009B0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СДН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2A72" w:rsidRPr="00122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253A" w:rsidRPr="00CB04D6" w:rsidRDefault="000B0AA7" w:rsidP="002507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Конечный потребитель использует рассматриваемые </w:t>
      </w:r>
      <w:proofErr w:type="spellStart"/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никотиносодержащие</w:t>
      </w:r>
      <w:proofErr w:type="spellEnd"/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 СДН в сборке и все они </w:t>
      </w:r>
      <w:r w:rsidRPr="003E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потребления</w:t>
      </w: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сопоставимы по удовлетворению потребности человека. </w:t>
      </w:r>
      <w:r w:rsidR="003D118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оптовом и на розничном рынках </w:t>
      </w:r>
      <w:r w:rsidR="003D118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на </w:t>
      </w:r>
      <w:proofErr w:type="spellStart"/>
      <w:r w:rsidR="003D118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никотиносодержащую</w:t>
      </w:r>
      <w:proofErr w:type="spellEnd"/>
      <w:r w:rsidR="003D118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продукцию и СДН формируется комплексно как на единый товар, т.е. как на набор, отдельные части которого обладают самостоятельным функционалом, доступным пользователю только при их совместном использовании. В этой связи такой набор отличается от сигарет с фильтром, сигарет без фильтра и папирос, </w:t>
      </w: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являются изделиями</w:t>
      </w:r>
      <w:r w:rsidR="003D118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готовыми к употреблению, т.е.</w:t>
      </w: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продуктом</w:t>
      </w:r>
      <w:r w:rsidR="002507D3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AA7" w:rsidRPr="000B0AA7" w:rsidRDefault="000B0AA7" w:rsidP="000F04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исследуемый набор изделий, определяющих продуктовые границы изучаемого рынка, применим к географическим границам, определенным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D93325" w:rsidRPr="00D93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D93325" w:rsidRPr="00D93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7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исследования</w:t>
      </w:r>
      <w:r w:rsidRPr="00D9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территория Российской Федерации.</w:t>
      </w:r>
    </w:p>
    <w:p w:rsidR="000B0AA7" w:rsidRDefault="000B0AA7" w:rsidP="000F04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иным географическим границам состав такого набора </w:t>
      </w:r>
      <w:r w:rsidR="007C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(т.е.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7C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входящих)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варьироваться.</w:t>
      </w:r>
    </w:p>
    <w:p w:rsidR="00A02CF7" w:rsidRPr="0086180E" w:rsidRDefault="000B0AA7" w:rsidP="00861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3.7 Порядка взаимозаменяемость, учитывая описанные выше функциональное назначение, применение, качественные 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технические характеристики, условия реализации, цен</w:t>
      </w:r>
      <w:r w:rsidR="007659AB">
        <w:rPr>
          <w:rFonts w:ascii="Times New Roman" w:eastAsia="Times New Roman" w:hAnsi="Times New Roman" w:cs="Times New Roman"/>
          <w:sz w:val="28"/>
          <w:szCs w:val="28"/>
          <w:lang w:eastAsia="ru-RU"/>
        </w:rPr>
        <w:t>у,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определить 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товар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рассматриваемого 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набор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0AA7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Pr="000B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 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proofErr w:type="gramStart"/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товар, </w:t>
      </w:r>
      <w:r w:rsidR="00A40B78" w:rsidRPr="00A4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A40B78" w:rsidRPr="00A40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0B0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имеющий заменителей</w:t>
      </w:r>
      <w:r w:rsidR="00A032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24B" w:rsidRP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подтверждается результатами</w:t>
      </w:r>
      <w:r w:rsidR="00A0324B" w:rsidRPr="0086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CF7" w:rsidRPr="0086180E">
        <w:rPr>
          <w:rFonts w:ascii="Times New Roman" w:hAnsi="Times New Roman" w:cs="Times New Roman"/>
          <w:bCs/>
          <w:sz w:val="28"/>
          <w:szCs w:val="28"/>
        </w:rPr>
        <w:t>«тес</w:t>
      </w:r>
      <w:r w:rsidR="0086180E">
        <w:rPr>
          <w:rFonts w:ascii="Times New Roman" w:hAnsi="Times New Roman" w:cs="Times New Roman"/>
          <w:bCs/>
          <w:sz w:val="28"/>
          <w:szCs w:val="28"/>
        </w:rPr>
        <w:t>та</w:t>
      </w:r>
      <w:r w:rsidR="00A02CF7" w:rsidRPr="0086180E">
        <w:rPr>
          <w:rFonts w:ascii="Times New Roman" w:hAnsi="Times New Roman" w:cs="Times New Roman"/>
          <w:bCs/>
          <w:sz w:val="28"/>
          <w:szCs w:val="28"/>
        </w:rPr>
        <w:t xml:space="preserve"> гипотетического монополиста»</w:t>
      </w:r>
      <w:r w:rsidR="00A0324B" w:rsidRPr="0086180E">
        <w:rPr>
          <w:rFonts w:ascii="Times New Roman" w:hAnsi="Times New Roman" w:cs="Times New Roman"/>
          <w:bCs/>
          <w:sz w:val="28"/>
          <w:szCs w:val="28"/>
        </w:rPr>
        <w:t>, проведенного</w:t>
      </w:r>
      <w:r w:rsidR="0086180E" w:rsidRPr="0086180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02CF7" w:rsidRPr="0086180E">
        <w:rPr>
          <w:rFonts w:ascii="Times New Roman" w:hAnsi="Times New Roman" w:cs="Times New Roman"/>
          <w:bCs/>
          <w:sz w:val="28"/>
          <w:szCs w:val="28"/>
        </w:rPr>
        <w:t xml:space="preserve">в период </w:t>
      </w:r>
      <w:r w:rsidR="00001BB9" w:rsidRPr="0086180E">
        <w:rPr>
          <w:rFonts w:ascii="Times New Roman" w:hAnsi="Times New Roman" w:cs="Times New Roman"/>
          <w:bCs/>
          <w:sz w:val="28"/>
          <w:szCs w:val="28"/>
        </w:rPr>
        <w:t xml:space="preserve">с 21.05.2020 </w:t>
      </w:r>
      <w:r w:rsidR="00A02CF7" w:rsidRPr="0086180E">
        <w:rPr>
          <w:rFonts w:ascii="Times New Roman" w:hAnsi="Times New Roman" w:cs="Times New Roman"/>
          <w:bCs/>
          <w:sz w:val="28"/>
          <w:szCs w:val="28"/>
        </w:rPr>
        <w:t>по 05.06.2020</w:t>
      </w:r>
      <w:r w:rsidR="0086180E" w:rsidRPr="008618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2CF7" w:rsidRPr="0086180E" w:rsidRDefault="00A02CF7" w:rsidP="00A0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0E">
        <w:rPr>
          <w:rFonts w:ascii="Times New Roman" w:hAnsi="Times New Roman" w:cs="Times New Roman"/>
          <w:sz w:val="28"/>
          <w:szCs w:val="28"/>
        </w:rPr>
        <w:t>Основная часть потребителей табачной продукции (</w:t>
      </w:r>
      <w:r w:rsidRPr="0086180E">
        <w:rPr>
          <w:rFonts w:ascii="Times New Roman" w:hAnsi="Times New Roman" w:cs="Times New Roman"/>
          <w:b/>
          <w:sz w:val="28"/>
          <w:szCs w:val="28"/>
        </w:rPr>
        <w:t>64</w:t>
      </w:r>
      <w:r w:rsidRPr="0086180E">
        <w:rPr>
          <w:rFonts w:ascii="Times New Roman" w:hAnsi="Times New Roman" w:cs="Times New Roman"/>
          <w:sz w:val="28"/>
          <w:szCs w:val="28"/>
        </w:rPr>
        <w:t xml:space="preserve"> %) ответили, что не готовы перейти на потребление инновационной </w:t>
      </w:r>
      <w:proofErr w:type="spellStart"/>
      <w:r w:rsidRPr="0086180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6180E">
        <w:rPr>
          <w:rFonts w:ascii="Times New Roman" w:hAnsi="Times New Roman" w:cs="Times New Roman"/>
          <w:sz w:val="28"/>
          <w:szCs w:val="28"/>
        </w:rPr>
        <w:t xml:space="preserve"> продукции                 в случае повышения цены на табачную продукцию на 5-10 %, при сохранении неизменными цен на инновационную </w:t>
      </w:r>
      <w:proofErr w:type="spellStart"/>
      <w:r w:rsidRPr="0086180E">
        <w:rPr>
          <w:rFonts w:ascii="Times New Roman" w:hAnsi="Times New Roman" w:cs="Times New Roman"/>
          <w:sz w:val="28"/>
          <w:szCs w:val="28"/>
        </w:rPr>
        <w:t>никотиносодержащую</w:t>
      </w:r>
      <w:proofErr w:type="spellEnd"/>
      <w:r w:rsidRPr="0086180E">
        <w:rPr>
          <w:rFonts w:ascii="Times New Roman" w:hAnsi="Times New Roman" w:cs="Times New Roman"/>
          <w:sz w:val="28"/>
          <w:szCs w:val="28"/>
        </w:rPr>
        <w:t xml:space="preserve"> продукцию.</w:t>
      </w:r>
    </w:p>
    <w:p w:rsidR="00A02CF7" w:rsidRPr="0086180E" w:rsidRDefault="00A02CF7" w:rsidP="00A0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0E">
        <w:rPr>
          <w:rFonts w:ascii="Times New Roman" w:hAnsi="Times New Roman" w:cs="Times New Roman"/>
          <w:sz w:val="28"/>
          <w:szCs w:val="28"/>
        </w:rPr>
        <w:t>Подавляющее большинство (</w:t>
      </w:r>
      <w:r w:rsidRPr="0086180E">
        <w:rPr>
          <w:rFonts w:ascii="Times New Roman" w:hAnsi="Times New Roman" w:cs="Times New Roman"/>
          <w:b/>
          <w:sz w:val="28"/>
          <w:szCs w:val="28"/>
        </w:rPr>
        <w:t>97</w:t>
      </w:r>
      <w:r w:rsidR="007C3AFF">
        <w:rPr>
          <w:rFonts w:ascii="Times New Roman" w:hAnsi="Times New Roman" w:cs="Times New Roman"/>
          <w:sz w:val="28"/>
          <w:szCs w:val="28"/>
        </w:rPr>
        <w:t xml:space="preserve"> %) потребителей инновационной </w:t>
      </w:r>
      <w:proofErr w:type="spellStart"/>
      <w:r w:rsidRPr="0086180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6180E">
        <w:rPr>
          <w:rFonts w:ascii="Times New Roman" w:hAnsi="Times New Roman" w:cs="Times New Roman"/>
          <w:sz w:val="28"/>
          <w:szCs w:val="28"/>
        </w:rPr>
        <w:t xml:space="preserve"> продукции также не готовы перейти на табачную продукцию при повышении цены на инновационную </w:t>
      </w:r>
      <w:proofErr w:type="spellStart"/>
      <w:r w:rsidRPr="0086180E">
        <w:rPr>
          <w:rFonts w:ascii="Times New Roman" w:hAnsi="Times New Roman" w:cs="Times New Roman"/>
          <w:sz w:val="28"/>
          <w:szCs w:val="28"/>
        </w:rPr>
        <w:t>никотиносодержащию</w:t>
      </w:r>
      <w:proofErr w:type="spellEnd"/>
      <w:r w:rsidRPr="0086180E">
        <w:rPr>
          <w:rFonts w:ascii="Times New Roman" w:hAnsi="Times New Roman" w:cs="Times New Roman"/>
          <w:sz w:val="28"/>
          <w:szCs w:val="28"/>
        </w:rPr>
        <w:t xml:space="preserve"> продукцию                           на 5-10 %, при сохранении неизменными цен на табачную продукцию.</w:t>
      </w:r>
    </w:p>
    <w:p w:rsidR="00A02CF7" w:rsidRPr="0086180E" w:rsidRDefault="00A02CF7" w:rsidP="00A0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0E">
        <w:rPr>
          <w:rFonts w:ascii="Times New Roman" w:hAnsi="Times New Roman" w:cs="Times New Roman"/>
          <w:b/>
          <w:sz w:val="28"/>
          <w:szCs w:val="28"/>
        </w:rPr>
        <w:lastRenderedPageBreak/>
        <w:t>50 %</w:t>
      </w:r>
      <w:r w:rsidRPr="0086180E">
        <w:rPr>
          <w:rFonts w:ascii="Times New Roman" w:hAnsi="Times New Roman" w:cs="Times New Roman"/>
          <w:sz w:val="28"/>
          <w:szCs w:val="28"/>
        </w:rPr>
        <w:t xml:space="preserve"> потребителей двух видов продукции (большая часть) ответили, что не готовы отказаться от потребления одного из них, в случае повышения цен сразу на оба вида продукции.</w:t>
      </w:r>
    </w:p>
    <w:p w:rsidR="00A02CF7" w:rsidRPr="0086180E" w:rsidRDefault="00A02CF7" w:rsidP="00A0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80E">
        <w:rPr>
          <w:rFonts w:ascii="Times New Roman" w:hAnsi="Times New Roman" w:cs="Times New Roman"/>
          <w:b/>
          <w:sz w:val="28"/>
          <w:szCs w:val="28"/>
        </w:rPr>
        <w:t>40</w:t>
      </w:r>
      <w:r w:rsidRPr="0086180E">
        <w:rPr>
          <w:rFonts w:ascii="Times New Roman" w:hAnsi="Times New Roman" w:cs="Times New Roman"/>
          <w:sz w:val="28"/>
          <w:szCs w:val="28"/>
        </w:rPr>
        <w:t xml:space="preserve"> </w:t>
      </w:r>
      <w:r w:rsidRPr="0086180E">
        <w:rPr>
          <w:rFonts w:ascii="Times New Roman" w:hAnsi="Times New Roman" w:cs="Times New Roman"/>
          <w:b/>
          <w:sz w:val="28"/>
          <w:szCs w:val="28"/>
        </w:rPr>
        <w:t>%</w:t>
      </w:r>
      <w:r w:rsidRPr="0086180E">
        <w:rPr>
          <w:rFonts w:ascii="Times New Roman" w:hAnsi="Times New Roman" w:cs="Times New Roman"/>
          <w:sz w:val="28"/>
          <w:szCs w:val="28"/>
        </w:rPr>
        <w:t xml:space="preserve"> потребителей двух видов продукции (большая часть) ответили, что не готовы перейти на потребление одного вида продукции в случае повышения цены другого.</w:t>
      </w:r>
    </w:p>
    <w:p w:rsidR="009D0C23" w:rsidRDefault="009D0C23" w:rsidP="009D0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421405" w:rsidRP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результатам проведенного опроса</w:t>
      </w:r>
      <w:r w:rsidRPr="00861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«тест гипотетического монополиста»</w:t>
      </w:r>
      <w:r w:rsidR="00421405"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21405" w:rsidRPr="0086180E">
        <w:rPr>
          <w:rFonts w:ascii="Times New Roman" w:hAnsi="Times New Roman" w:cs="Times New Roman"/>
          <w:bCs/>
          <w:sz w:val="28"/>
          <w:szCs w:val="28"/>
        </w:rPr>
        <w:t>в соответствии с пунктом 3.8 Порядка,</w:t>
      </w:r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Управление приходит </w:t>
      </w:r>
      <w:r w:rsidR="00A40B78" w:rsidRPr="00A40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выводу, что табачная продукция и инновационная </w:t>
      </w:r>
      <w:proofErr w:type="spellStart"/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никотиносодержащая</w:t>
      </w:r>
      <w:proofErr w:type="spellEnd"/>
      <w:r w:rsidRPr="0086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продукция не является взаимозаменяемыми товарами.</w:t>
      </w:r>
    </w:p>
    <w:p w:rsidR="0086180E" w:rsidRPr="0086180E" w:rsidRDefault="0086180E" w:rsidP="009D0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A6A5F" w:rsidRDefault="006A6A5F" w:rsidP="007C3A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2DB">
        <w:rPr>
          <w:rFonts w:ascii="Times New Roman" w:hAnsi="Times New Roman" w:cs="Times New Roman"/>
          <w:sz w:val="28"/>
          <w:szCs w:val="28"/>
        </w:rPr>
        <w:t xml:space="preserve">Анализируемый вид деятельности – </w:t>
      </w:r>
      <w:r w:rsidRPr="003912DB">
        <w:rPr>
          <w:rFonts w:ascii="Times New Roman" w:hAnsi="Times New Roman" w:cs="Times New Roman"/>
          <w:b/>
          <w:sz w:val="28"/>
          <w:szCs w:val="28"/>
        </w:rPr>
        <w:t xml:space="preserve">оптовая реализация </w:t>
      </w:r>
      <w:proofErr w:type="spellStart"/>
      <w:r w:rsidRPr="00A3090A">
        <w:rPr>
          <w:rFonts w:ascii="Times New Roman" w:hAnsi="Times New Roman"/>
          <w:b/>
          <w:sz w:val="28"/>
          <w:szCs w:val="28"/>
        </w:rPr>
        <w:t>никотиносодержащей</w:t>
      </w:r>
      <w:proofErr w:type="spellEnd"/>
      <w:r w:rsidRPr="00A3090A">
        <w:rPr>
          <w:rFonts w:ascii="Times New Roman" w:hAnsi="Times New Roman"/>
          <w:b/>
          <w:sz w:val="28"/>
          <w:szCs w:val="28"/>
        </w:rPr>
        <w:t xml:space="preserve"> продукции и </w:t>
      </w:r>
      <w:r w:rsidR="007C0B85">
        <w:rPr>
          <w:rFonts w:ascii="Times New Roman" w:hAnsi="Times New Roman"/>
          <w:b/>
          <w:sz w:val="28"/>
          <w:szCs w:val="28"/>
        </w:rPr>
        <w:t>СДН</w:t>
      </w:r>
      <w:r w:rsidRPr="00A3090A">
        <w:rPr>
          <w:rFonts w:ascii="Times New Roman" w:hAnsi="Times New Roman"/>
          <w:b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B517F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2DB">
        <w:rPr>
          <w:rFonts w:ascii="Times New Roman" w:hAnsi="Times New Roman" w:cs="Times New Roman"/>
          <w:b/>
          <w:sz w:val="28"/>
          <w:szCs w:val="28"/>
        </w:rPr>
        <w:t>независимым покупателям хозяйствующими субъектами, осуществляющими их производство</w:t>
      </w:r>
      <w:r>
        <w:rPr>
          <w:rFonts w:ascii="Times New Roman" w:hAnsi="Times New Roman" w:cs="Times New Roman"/>
          <w:b/>
          <w:sz w:val="28"/>
          <w:szCs w:val="28"/>
        </w:rPr>
        <w:t>/импорт</w:t>
      </w:r>
      <w:r w:rsidRPr="003912DB">
        <w:rPr>
          <w:rFonts w:ascii="Times New Roman" w:hAnsi="Times New Roman" w:cs="Times New Roman"/>
          <w:b/>
          <w:sz w:val="28"/>
          <w:szCs w:val="28"/>
        </w:rPr>
        <w:t>, и/или иными хозяйствующими субъектами, входящими в одну группу лиц с производителем</w:t>
      </w:r>
      <w:r>
        <w:rPr>
          <w:rFonts w:ascii="Times New Roman" w:hAnsi="Times New Roman" w:cs="Times New Roman"/>
          <w:b/>
          <w:sz w:val="28"/>
          <w:szCs w:val="28"/>
        </w:rPr>
        <w:t>/импортером</w:t>
      </w:r>
      <w:r w:rsidRPr="003912DB">
        <w:rPr>
          <w:rFonts w:ascii="Times New Roman" w:hAnsi="Times New Roman" w:cs="Times New Roman"/>
          <w:b/>
          <w:sz w:val="28"/>
          <w:szCs w:val="28"/>
        </w:rPr>
        <w:t>.</w:t>
      </w:r>
    </w:p>
    <w:p w:rsidR="00AC7569" w:rsidRDefault="00AC7569" w:rsidP="007C3A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5F" w:rsidRPr="00421405" w:rsidRDefault="00994A91" w:rsidP="007C3AF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94A91">
        <w:rPr>
          <w:rFonts w:ascii="Times New Roman" w:hAnsi="Times New Roman"/>
          <w:b/>
          <w:sz w:val="28"/>
          <w:szCs w:val="28"/>
        </w:rPr>
        <w:t>Географические границы товарного рынка.</w:t>
      </w:r>
    </w:p>
    <w:p w:rsidR="00421405" w:rsidRPr="00D40F04" w:rsidRDefault="00421405" w:rsidP="007C3AF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en-US"/>
        </w:rPr>
      </w:pPr>
    </w:p>
    <w:p w:rsidR="00994A91" w:rsidRDefault="00994A91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3BE">
        <w:rPr>
          <w:rFonts w:ascii="Times New Roman" w:eastAsia="Times New Roman" w:hAnsi="Times New Roman"/>
          <w:sz w:val="28"/>
          <w:szCs w:val="28"/>
          <w:lang w:eastAsia="ru-RU"/>
        </w:rPr>
        <w:t>Географические границы ры</w:t>
      </w:r>
      <w:r w:rsidRPr="001A2E63">
        <w:rPr>
          <w:rFonts w:ascii="Times New Roman" w:eastAsia="Times New Roman" w:hAnsi="Times New Roman"/>
          <w:sz w:val="28"/>
          <w:szCs w:val="28"/>
          <w:lang w:eastAsia="ru-RU"/>
        </w:rPr>
        <w:t xml:space="preserve">нка </w:t>
      </w:r>
      <w:proofErr w:type="spellStart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</w:t>
      </w:r>
      <w:r w:rsidR="007C0B85">
        <w:rPr>
          <w:rFonts w:ascii="Times New Roman" w:eastAsia="Times New Roman" w:hAnsi="Times New Roman"/>
          <w:sz w:val="28"/>
          <w:szCs w:val="28"/>
          <w:lang w:eastAsia="ru-RU"/>
        </w:rPr>
        <w:t>СДН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предназначенных для потребления никотина способами, отличными от курения табака</w:t>
      </w:r>
      <w:r w:rsidR="007372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72C4">
        <w:rPr>
          <w:rFonts w:ascii="Times New Roman" w:eastAsia="Times New Roman" w:hAnsi="Times New Roman"/>
          <w:sz w:val="28"/>
          <w:szCs w:val="28"/>
          <w:lang w:eastAsia="ru-RU"/>
        </w:rPr>
        <w:t>определены</w:t>
      </w:r>
      <w:r w:rsidRPr="001A2E6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4.5 Порядка как территория местоположения приобретателей продукции на указанном рынке. Анализ 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товарного рынка</w:t>
      </w:r>
      <w:r w:rsidRPr="001A2E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A2E63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географических границах Российской Федерации. Данное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основывается на следующ</w:t>
      </w:r>
      <w:r w:rsidR="005F6FAC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 w:rsidR="005F6FAC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1A2E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6FAC" w:rsidRDefault="005F6FAC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информации, полученной</w:t>
      </w:r>
      <w:r w:rsidR="007372C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запросы ФАС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России, </w:t>
      </w:r>
      <w:r w:rsidR="00A40B78" w:rsidRPr="00A40B7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A40B78" w:rsidRPr="00A40B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381F6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81F6F" w:rsidRPr="001A2E63">
        <w:rPr>
          <w:rFonts w:ascii="Times New Roman" w:eastAsia="Times New Roman" w:hAnsi="Times New Roman" w:cs="Times New Roman"/>
          <w:sz w:val="28"/>
          <w:szCs w:val="28"/>
          <w:lang w:eastAsia="ar-SA"/>
        </w:rPr>
        <w:t>исследуемый период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Российской Федерации осуществляли свою деятел</w:t>
      </w:r>
      <w:r w:rsidR="007372C4">
        <w:rPr>
          <w:rFonts w:ascii="Times New Roman" w:eastAsia="Times New Roman" w:hAnsi="Times New Roman"/>
          <w:sz w:val="28"/>
          <w:szCs w:val="28"/>
          <w:lang w:eastAsia="ru-RU"/>
        </w:rPr>
        <w:t>ьность 2 хозяйствующих субъекта-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производителя </w:t>
      </w:r>
      <w:proofErr w:type="spellStart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устройств, предназначенных для потребления никотина способами, отличными от курения табака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6FAC" w:rsidRPr="005F6FAC" w:rsidRDefault="005F6FAC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>Несколько крупнейших вертикально-интегрированных компаний</w:t>
      </w:r>
      <w:r w:rsidRPr="005F6FA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Philip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Morris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International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(Филип Моррис Интернэшнл) – </w:t>
      </w:r>
      <w:r w:rsidR="00520632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063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>%*</w:t>
      </w:r>
      <w:r w:rsidR="00520632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2018 год и 81,47%* за 2019 год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British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American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Tobacco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FAC">
        <w:rPr>
          <w:rFonts w:ascii="Times New Roman" w:eastAsia="Times New Roman" w:hAnsi="Times New Roman"/>
          <w:sz w:val="28"/>
          <w:szCs w:val="28"/>
          <w:lang w:val="en-US" w:eastAsia="ru-RU"/>
        </w:rPr>
        <w:t>Russia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(Бритиш Американ Тобакко Россия) – </w:t>
      </w:r>
      <w:r w:rsidR="000F0479">
        <w:rPr>
          <w:rFonts w:ascii="Times New Roman" w:eastAsia="Times New Roman" w:hAnsi="Times New Roman"/>
          <w:sz w:val="28"/>
          <w:szCs w:val="28"/>
          <w:lang w:eastAsia="ru-RU"/>
        </w:rPr>
        <w:t>18,91%* за 2018 год и 18,53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>%*</w:t>
      </w:r>
      <w:r w:rsidR="000F0479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2019 год </w:t>
      </w:r>
      <w:r w:rsidRPr="005F6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(далее – Крупнейшие компании отрасли), 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свою деятельность на территории РФ, </w:t>
      </w:r>
      <w:r w:rsidRPr="005F6FAC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</w:t>
      </w:r>
      <w:r w:rsidR="00A80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чивают весь объем производства </w:t>
      </w:r>
      <w:proofErr w:type="spellStart"/>
      <w:r w:rsidR="00A809A7" w:rsidRPr="00A809A7">
        <w:rPr>
          <w:rFonts w:ascii="Times New Roman" w:eastAsia="Times New Roman" w:hAnsi="Times New Roman"/>
          <w:b/>
          <w:sz w:val="28"/>
          <w:szCs w:val="28"/>
          <w:lang w:eastAsia="ru-RU"/>
        </w:rPr>
        <w:t>никотиносодержащей</w:t>
      </w:r>
      <w:proofErr w:type="spellEnd"/>
      <w:r w:rsidR="00A809A7" w:rsidRPr="00A809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продукции и </w:t>
      </w:r>
      <w:r w:rsidR="00A809A7">
        <w:rPr>
          <w:rFonts w:ascii="Times New Roman" w:eastAsia="Times New Roman" w:hAnsi="Times New Roman"/>
          <w:b/>
          <w:sz w:val="28"/>
          <w:szCs w:val="28"/>
          <w:lang w:eastAsia="ru-RU"/>
        </w:rPr>
        <w:t>СДН</w:t>
      </w:r>
      <w:r w:rsidRPr="005F6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поступающих на оптовый рынок 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>(совокупная доля - 100%*)</w:t>
      </w:r>
      <w:r w:rsidRPr="005F6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372C4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Pr="005F6FAC">
        <w:rPr>
          <w:rFonts w:ascii="Times New Roman" w:eastAsia="Times New Roman" w:hAnsi="Times New Roman"/>
          <w:sz w:val="28"/>
          <w:szCs w:val="28"/>
          <w:lang w:eastAsia="ru-RU"/>
        </w:rPr>
        <w:t xml:space="preserve"> этих компаний распространяется на всю территорию РФ и за ее пределы (экспорт). </w:t>
      </w:r>
    </w:p>
    <w:p w:rsidR="00994A91" w:rsidRDefault="00994A91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Поскольку в настоящее время между государствами-членами Евразийского Экономического Союза (ЕАЭС) нет единых принципов </w:t>
      </w:r>
      <w:r w:rsidR="009D735D">
        <w:rPr>
          <w:rFonts w:ascii="Times New Roman" w:eastAsia="Times New Roman" w:hAnsi="Times New Roman"/>
          <w:sz w:val="28"/>
          <w:szCs w:val="28"/>
          <w:lang w:eastAsia="ru-RU"/>
        </w:rPr>
        <w:t>технич</w:t>
      </w:r>
      <w:r w:rsidR="009B40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D735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регулирования и 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ведения налоговой политики в области косвенных налогов, то величина акцизов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никотиносодержащую</w:t>
      </w:r>
      <w:proofErr w:type="spellEnd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СДН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же, как и НДС, не гармонизирована, поэтому единый рынок обращения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="005D19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рамках Т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аможенного союза между Арменией, Белоруссией, Казахстаном, Киргизстаном и Россией не рассматривается настоящим аналитическим исследованием.</w:t>
      </w:r>
    </w:p>
    <w:p w:rsidR="003D1182" w:rsidRPr="001627EA" w:rsidRDefault="003D1182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в настоящее время, на уровне Евразийской экономической комиссии уже ведется работа над единым техническим регламентом для </w:t>
      </w:r>
      <w:proofErr w:type="spellStart"/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(включая инновационную продук</w:t>
      </w:r>
      <w:r w:rsidR="003E7E42" w:rsidRPr="003E7E42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 xml:space="preserve">ию), который унифицирует правила по техническому регулированию </w:t>
      </w:r>
      <w:proofErr w:type="spellStart"/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странах членах ЕАЭС. Дальнейшая гармонизация регулирования инновационной </w:t>
      </w:r>
      <w:proofErr w:type="spellStart"/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3E7E4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в ЕАЭС может привести к расширению географических границ рассматриваемых рынков.</w:t>
      </w:r>
    </w:p>
    <w:p w:rsidR="00994A91" w:rsidRDefault="00994A91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По данным участников рынка, регионы расположения оптовы</w:t>
      </w:r>
      <w:r w:rsidR="00B517F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приобретател</w:t>
      </w:r>
      <w:r w:rsidR="00B517F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СДН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</w:t>
      </w:r>
      <w:r w:rsidR="00B517F0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всю территорию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A91" w:rsidRDefault="00994A91" w:rsidP="007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7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Таким образом, географические границы оптового рынка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никотиносодержащей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продукции и СДН </w:t>
      </w:r>
      <w:r w:rsidRPr="001627EA">
        <w:rPr>
          <w:rFonts w:ascii="Times New Roman" w:eastAsia="Times New Roman" w:hAnsi="Times New Roman"/>
          <w:b/>
          <w:sz w:val="28"/>
          <w:szCs w:val="28"/>
          <w:lang w:eastAsia="ru-RU"/>
        </w:rPr>
        <w:t>были определены как территория Российской Федерации (федеральный рынок).</w:t>
      </w:r>
    </w:p>
    <w:p w:rsidR="00595F5C" w:rsidRPr="001627EA" w:rsidRDefault="00595F5C" w:rsidP="007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1405" w:rsidRPr="00421405" w:rsidRDefault="005F6FAC" w:rsidP="007C3AFF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405">
        <w:rPr>
          <w:rFonts w:ascii="Times New Roman" w:hAnsi="Times New Roman"/>
          <w:b/>
          <w:sz w:val="28"/>
          <w:szCs w:val="28"/>
        </w:rPr>
        <w:t>Определение состава хозяйствующих субъектов, действующих на рынке.</w:t>
      </w:r>
    </w:p>
    <w:p w:rsidR="00727703" w:rsidRDefault="005F6FAC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проведенного анализа установлено, что схема товародвижения на оптовом рынке </w:t>
      </w:r>
      <w:proofErr w:type="spellStart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никотиносодержащей</w:t>
      </w:r>
      <w:proofErr w:type="spellEnd"/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</w:t>
      </w:r>
      <w:r w:rsidR="00396AF6">
        <w:rPr>
          <w:rFonts w:ascii="Times New Roman" w:eastAsia="Times New Roman" w:hAnsi="Times New Roman"/>
          <w:sz w:val="28"/>
          <w:szCs w:val="28"/>
          <w:lang w:eastAsia="ru-RU"/>
        </w:rPr>
        <w:t>СДН</w:t>
      </w:r>
      <w:r w:rsidRPr="001627EA">
        <w:rPr>
          <w:rFonts w:ascii="Times New Roman" w:eastAsia="Times New Roman" w:hAnsi="Times New Roman"/>
          <w:sz w:val="28"/>
          <w:szCs w:val="28"/>
          <w:lang w:eastAsia="ru-RU"/>
        </w:rPr>
        <w:t>, предназначенных для потребления никотина способами, отличными от курения табака</w:t>
      </w:r>
      <w:r w:rsidR="005D19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выглядит следующим образом</w:t>
      </w:r>
      <w:r w:rsidR="001B00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301E" w:rsidRDefault="00BD301E" w:rsidP="004214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75544" w:rsidRPr="00BD301E" w:rsidRDefault="00727703" w:rsidP="00727703">
      <w:pPr>
        <w:spacing w:after="0" w:line="312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BD301E">
        <w:rPr>
          <w:rFonts w:ascii="Times New Roman" w:hAnsi="Times New Roman"/>
          <w:b/>
          <w:i/>
        </w:rPr>
        <w:lastRenderedPageBreak/>
        <w:t xml:space="preserve">Схема товародвижения на рынке </w:t>
      </w:r>
      <w:proofErr w:type="spellStart"/>
      <w:r w:rsidRPr="00BD301E">
        <w:rPr>
          <w:rFonts w:ascii="Times New Roman" w:eastAsia="Times New Roman" w:hAnsi="Times New Roman"/>
          <w:b/>
          <w:i/>
          <w:lang w:eastAsia="ru-RU"/>
        </w:rPr>
        <w:t>никотиносодержащей</w:t>
      </w:r>
      <w:proofErr w:type="spellEnd"/>
      <w:r w:rsidRPr="00BD301E">
        <w:rPr>
          <w:rFonts w:ascii="Times New Roman" w:eastAsia="Times New Roman" w:hAnsi="Times New Roman"/>
          <w:b/>
          <w:i/>
          <w:lang w:eastAsia="ru-RU"/>
        </w:rPr>
        <w:t xml:space="preserve"> продукции и </w:t>
      </w:r>
      <w:r w:rsidR="00396AF6" w:rsidRPr="00BD301E">
        <w:rPr>
          <w:rFonts w:ascii="Times New Roman" w:eastAsia="Times New Roman" w:hAnsi="Times New Roman"/>
          <w:b/>
          <w:i/>
          <w:lang w:eastAsia="ru-RU"/>
        </w:rPr>
        <w:t>СДН</w:t>
      </w:r>
      <w:r w:rsidRPr="00BD301E">
        <w:rPr>
          <w:rFonts w:ascii="Times New Roman" w:eastAsia="Times New Roman" w:hAnsi="Times New Roman"/>
          <w:b/>
          <w:i/>
          <w:lang w:eastAsia="ru-RU"/>
        </w:rPr>
        <w:t>, предназначенных для потребления никотина способами, отличными от курения табака за 2018 год.</w:t>
      </w:r>
    </w:p>
    <w:p w:rsidR="00675544" w:rsidRDefault="00641014" w:rsidP="00727703">
      <w:pPr>
        <w:spacing w:after="0" w:line="312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24431" cy="412432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1111111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70"/>
                    <a:stretch/>
                  </pic:blipFill>
                  <pic:spPr bwMode="auto">
                    <a:xfrm>
                      <a:off x="0" y="0"/>
                      <a:ext cx="5033263" cy="4131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80E" w:rsidRDefault="0086180E" w:rsidP="00027D1D">
      <w:pPr>
        <w:spacing w:after="0" w:line="312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6180E" w:rsidRDefault="0086180E" w:rsidP="00027D1D">
      <w:pPr>
        <w:spacing w:after="0" w:line="312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7D1D" w:rsidRPr="00BD301E" w:rsidRDefault="00027D1D" w:rsidP="00027D1D">
      <w:pPr>
        <w:spacing w:after="0" w:line="312" w:lineRule="auto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BD301E">
        <w:rPr>
          <w:rFonts w:ascii="Times New Roman" w:hAnsi="Times New Roman"/>
          <w:b/>
          <w:i/>
        </w:rPr>
        <w:t xml:space="preserve">Схема товародвижения на рынке </w:t>
      </w:r>
      <w:proofErr w:type="spellStart"/>
      <w:r w:rsidRPr="00BD301E">
        <w:rPr>
          <w:rFonts w:ascii="Times New Roman" w:eastAsia="Times New Roman" w:hAnsi="Times New Roman"/>
          <w:b/>
          <w:i/>
          <w:lang w:eastAsia="ru-RU"/>
        </w:rPr>
        <w:t>никотиносодержащей</w:t>
      </w:r>
      <w:proofErr w:type="spellEnd"/>
      <w:r w:rsidRPr="00BD301E">
        <w:rPr>
          <w:rFonts w:ascii="Times New Roman" w:eastAsia="Times New Roman" w:hAnsi="Times New Roman"/>
          <w:b/>
          <w:i/>
          <w:lang w:eastAsia="ru-RU"/>
        </w:rPr>
        <w:t xml:space="preserve"> продукции и </w:t>
      </w:r>
      <w:r w:rsidR="00396AF6" w:rsidRPr="00BD301E">
        <w:rPr>
          <w:rFonts w:ascii="Times New Roman" w:eastAsia="Times New Roman" w:hAnsi="Times New Roman"/>
          <w:b/>
          <w:i/>
          <w:lang w:eastAsia="ru-RU"/>
        </w:rPr>
        <w:t>СДН</w:t>
      </w:r>
      <w:r w:rsidRPr="00BD301E">
        <w:rPr>
          <w:rFonts w:ascii="Times New Roman" w:eastAsia="Times New Roman" w:hAnsi="Times New Roman"/>
          <w:b/>
          <w:i/>
          <w:lang w:eastAsia="ru-RU"/>
        </w:rPr>
        <w:t>, предназначенных для потребления никотина способами, отличными от курения табака за 2019 год.</w:t>
      </w:r>
    </w:p>
    <w:p w:rsidR="003C0AB8" w:rsidRPr="0035064B" w:rsidRDefault="00C4451F" w:rsidP="0072770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507" cy="3562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222222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59"/>
                    <a:stretch/>
                  </pic:blipFill>
                  <pic:spPr bwMode="auto">
                    <a:xfrm>
                      <a:off x="0" y="0"/>
                      <a:ext cx="5488554" cy="357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1405" w:rsidRDefault="00421405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1FF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5736E9" wp14:editId="64E24B67">
                <wp:simplePos x="0" y="0"/>
                <wp:positionH relativeFrom="column">
                  <wp:posOffset>7023735</wp:posOffset>
                </wp:positionH>
                <wp:positionV relativeFrom="paragraph">
                  <wp:posOffset>5734685</wp:posOffset>
                </wp:positionV>
                <wp:extent cx="3145678" cy="911225"/>
                <wp:effectExtent l="19050" t="0" r="0" b="3175"/>
                <wp:wrapNone/>
                <wp:docPr id="68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678" cy="911225"/>
                          <a:chOff x="7024332" y="5735747"/>
                          <a:chExt cx="6013699" cy="854318"/>
                        </a:xfrm>
                      </wpg:grpSpPr>
                      <wps:wsp>
                        <wps:cNvPr id="69" name="TextBox 43"/>
                        <wps:cNvSpPr txBox="1"/>
                        <wps:spPr>
                          <a:xfrm>
                            <a:off x="7100597" y="5735747"/>
                            <a:ext cx="5937434" cy="854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016BE" w:rsidRDefault="006016BE" w:rsidP="003C0AB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Сокращения и обозначения:</w:t>
                              </w:r>
                            </w:p>
                            <w:p w:rsidR="006016BE" w:rsidRDefault="006016BE" w:rsidP="003C0AB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ТД – торговые дома</w:t>
                              </w:r>
                            </w:p>
                            <w:p w:rsidR="006016BE" w:rsidRDefault="006016BE" w:rsidP="003C0AB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ОП – отдел продаж</w:t>
                              </w:r>
                            </w:p>
                            <w:p w:rsidR="006016BE" w:rsidRDefault="006016BE" w:rsidP="003C0AB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  <w:p w:rsidR="006016BE" w:rsidRDefault="006016BE" w:rsidP="003C0AB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- продажа           - отгрузка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0" name="Стрелка вниз 70"/>
                        <wps:cNvSpPr/>
                        <wps:spPr>
                          <a:xfrm>
                            <a:off x="7024332" y="6255702"/>
                            <a:ext cx="288001" cy="288000"/>
                          </a:xfrm>
                          <a:prstGeom prst="downArrow">
                            <a:avLst/>
                          </a:prstGeom>
                          <a:solidFill>
                            <a:srgbClr val="00828A"/>
                          </a:solidFill>
                          <a:ln w="12700" cap="flat" cmpd="sng" algn="ctr">
                            <a:solidFill>
                              <a:srgbClr val="00828A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1" name="Стрелка вниз 71"/>
                        <wps:cNvSpPr/>
                        <wps:spPr>
                          <a:xfrm>
                            <a:off x="8862208" y="6251352"/>
                            <a:ext cx="288001" cy="288000"/>
                          </a:xfrm>
                          <a:prstGeom prst="downArrow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828A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736E9" id="Группа 42" o:spid="_x0000_s1028" style="position:absolute;left:0;text-align:left;margin-left:553.05pt;margin-top:451.55pt;width:247.7pt;height:71.75pt;z-index:251670528;mso-width-relative:margin;mso-height-relative:margin" coordorigin="70243,57357" coordsize="60136,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1EIQMAAMIIAAAOAAAAZHJzL2Uyb0RvYy54bWy8Vu1u0zAU/Y/EO1j+z/LdpNHSaWxsfxBM&#10;2ngAN3E+pCQOttuk/xA8Ak/AGyAkBAIhXiF9I66dtFs3NtAQa6XUca6vzz3nXKf7B11VoiXlomB1&#10;hK09EyNaxywp6izCry5OngQYCUnqhJSsphFeUYEPZo8f7bdNSG2WszKhHEGSWoRtE+FcyiY0DBHn&#10;tCJijzW0hocp4xWRcMszI+GkhexVadimOTFaxpOGs5gKAbPHw0M80/nTlMbyZZoKKlEZYcAm9ZXr&#10;61xdjdk+CTNOmryIRxjkHigqUtSw6TbVMZEELXhxI1VVxJwJlsq9mFUGS9MiproGqMYyr1Vzytmi&#10;0bVkYZs1W5qA2ms83Ttt/GJ5xlGRRHgCStWkAo369+s363f9T/h+RK6tOGqbLITQU96cN2d8nMiG&#10;O1V2l/JK/UJBqNPsrrbs0k6iGCYdy/UmPuwSw7OpZdm2N9Af56CRWuabtus4NkYQ4PmO57v+JuLZ&#10;mGRiWs5kOh2SBJ7rWIEKMTYQDIV0C6xtwFXikjjxb8Sd56ShWg+h2NgQB2gG4i6g1KesQ66jMKnN&#10;IUoRhmQH89Afm3kBk7/hzbdM05v6NwnYcOhNHd913FvLJ2HDhTylrEJqEGEOHaCNSZbPhRyY2oQo&#10;ADU7KcpSzSu4Ayw1kt2807YY5RfhnCUrqKSFXomweL0gnGLEZXnEdGupZKI5XEhIqPdRWYY1Y3IQ&#10;YiDlvyviQ6ePVv6wfrt+03/uv/ffwMz9p/5H/7X/giBiV6Hx7jZdrhhzYnseGFWtJ+FGFzsITNMa&#10;ZNFjnX/ryhuyJKytDzln7V3aCFYWiZJHc8uz+VHJ0ZIous3ADg4VBNhiJ6ysUQs+s30TOIiVVGlJ&#10;JAyrBnpc1BlGpMzgqI4l13vvrBZ/t4ky0DER+QBGZxjoqAoJp3lZVBEGPuAzQixrTZY+j0cb7tpt&#10;NNelnRCp45zBQa1wqjpV/AM6CLT8g4O2vTz2+N0OCoKJbZtw+MHRBg6yHO8hHLTtbhKOxpia3sMZ&#10;YyWUSx7OGvrwhxelbovxpa7exFfvtZUu/3rMfgEAAP//AwBQSwMEFAAGAAgAAAAhAAEa4U/iAAAA&#10;DgEAAA8AAABkcnMvZG93bnJldi54bWxMj8FOwzAQRO9I/IO1SNyobUotCHGqqgJOFRItEuLmxtsk&#10;amxHsZukf8/2RG8z2qfZmXw5uZYN2McmeA1yJoChL4NtfKXhe/f+8AwsJuOtaYNHDWeMsCxub3KT&#10;2TD6Lxy2qWIU4mNmNNQpdRnnsazRmTgLHXq6HULvTCLbV9z2ZqRw1/JHIRR3pvH0oTYdrmssj9uT&#10;0/AxmnE1l2/D5nhYn393i8+fjUSt7++m1SuwhFP6h+FSn6pDQZ324eRtZC15KZQkVsOLmJO4IErI&#10;BbA9KfGkFPAi59czij8AAAD//wMAUEsBAi0AFAAGAAgAAAAhALaDOJL+AAAA4QEAABMAAAAAAAAA&#10;AAAAAAAAAAAAAFtDb250ZW50X1R5cGVzXS54bWxQSwECLQAUAAYACAAAACEAOP0h/9YAAACUAQAA&#10;CwAAAAAAAAAAAAAAAAAvAQAAX3JlbHMvLnJlbHNQSwECLQAUAAYACAAAACEA9wQ9RCEDAADCCAAA&#10;DgAAAAAAAAAAAAAAAAAuAgAAZHJzL2Uyb0RvYy54bWxQSwECLQAUAAYACAAAACEAARrhT+IAAAAO&#10;AQAADwAAAAAAAAAAAAAAAAB7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3" o:spid="_x0000_s1029" type="#_x0000_t202" style="position:absolute;left:71005;top:57357;width:59375;height:8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:rsidR="006016BE" w:rsidRDefault="006016BE" w:rsidP="003C0AB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Сокращения и обозначения:</w:t>
                        </w:r>
                      </w:p>
                      <w:p w:rsidR="006016BE" w:rsidRDefault="006016BE" w:rsidP="003C0AB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ТД – торговые дома</w:t>
                        </w:r>
                      </w:p>
                      <w:p w:rsidR="006016BE" w:rsidRDefault="006016BE" w:rsidP="003C0AB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ОП – отдел продаж</w:t>
                        </w:r>
                      </w:p>
                      <w:p w:rsidR="006016BE" w:rsidRDefault="006016BE" w:rsidP="003C0AB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   </w:t>
                        </w:r>
                      </w:p>
                      <w:p w:rsidR="006016BE" w:rsidRDefault="006016BE" w:rsidP="003C0AB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- продажа           - отгрузка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0" o:spid="_x0000_s1030" type="#_x0000_t67" style="position:absolute;left:70243;top:62557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AhcIA&#10;AADbAAAADwAAAGRycy9kb3ducmV2LnhtbERPS27CMBDdV+odrKnUDSpOIlHagIkKVUVZsOBzgGk8&#10;JKHxOLLdEG6PF0hdPr3/vBhMK3pyvrGsIB0nIIhLqxuuFBwPXy9vIHxA1thaJgVX8lAsHh/mmGt7&#10;4R31+1CJGMI+RwV1CF0upS9rMujHtiOO3Mk6gyFCV0nt8BLDTSuzJHmVBhuODTV2tKqp/N3/GQXu&#10;M3uf/Ky70+i8rVLcyCCXvFXq+Wn4mIEINIR/8d39rRVM4/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0CFwgAAANsAAAAPAAAAAAAAAAAAAAAAAJgCAABkcnMvZG93&#10;bnJldi54bWxQSwUGAAAAAAQABAD1AAAAhwMAAAAA&#10;" adj="10800" fillcolor="#00828a" strokecolor="#00828a" strokeweight="1pt"/>
                <v:shape id="Стрелка вниз 71" o:spid="_x0000_s1031" type="#_x0000_t67" style="position:absolute;left:88622;top:62513;width:288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ndsUA&#10;AADbAAAADwAAAGRycy9kb3ducmV2LnhtbESPQWvCQBSE7wX/w/KE3uomEqpEV4mCYCke1BY8vmZf&#10;s2mzb2N2q+m/d4VCj8PMfMPMl71txIU6XztWkI4SEMSl0zVXCt6Om6cpCB+QNTaOScEveVguBg9z&#10;zLW78p4uh1CJCGGfowITQptL6UtDFv3ItcTR+3SdxRBlV0nd4TXCbSPHSfIsLdYcFwy2tDZUfh9+&#10;rIKXj92KXqc7PGenLJivtMiO74VSj8O+mIEI1If/8F97qxVMUr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Kd2xQAAANsAAAAPAAAAAAAAAAAAAAAAAJgCAABkcnMv&#10;ZG93bnJldi54bWxQSwUGAAAAAAQABAD1AAAAigMAAAAA&#10;" adj="10800" filled="f" strokecolor="#00828a" strokeweight="1.5pt">
                  <v:stroke dashstyle="3 1"/>
                </v:shape>
              </v:group>
            </w:pict>
          </mc:Fallback>
        </mc:AlternateConten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схемы товародвижения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процентное соотношение долей поставщиков на рынок показываю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оптовой 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proofErr w:type="spellStart"/>
      <w:r w:rsidR="002901E9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901E9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2901E9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2901E9">
        <w:rPr>
          <w:rFonts w:ascii="Times New Roman" w:hAnsi="Times New Roman" w:cs="Times New Roman"/>
          <w:sz w:val="28"/>
          <w:szCs w:val="28"/>
        </w:rPr>
        <w:t>,</w:t>
      </w:r>
      <w:r w:rsidR="0029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рынка: крупн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ооптовый</w:t>
      </w:r>
      <w:r w:rsidR="0019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рынок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45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оптовый федеральный рынок</w:t>
      </w:r>
      <w:r w:rsidR="006E1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B8" w:rsidRDefault="006E11FF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следует отметить дальнейшее товародвижение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федеральном оптовом рынке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покупка продукции </w:t>
      </w:r>
      <w:r w:rsidR="00077943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покупателями </w:t>
      </w:r>
      <w:r w:rsidR="00077943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последующей розничной продажи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мелкооптовым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дистрибьютерам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розничным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продавцам</w:t>
      </w:r>
      <w:r w:rsidR="000779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AB8" w:rsidRPr="00256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019" w:rsidRDefault="00A31019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настоящем аналитическом исследовании рассматривался исключительно </w:t>
      </w:r>
      <w:r w:rsidR="002223EB" w:rsidRPr="007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крупнооптовый федеральный рынок</w:t>
      </w:r>
      <w:r w:rsidR="002223EB" w:rsidRPr="0022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223EB" w:rsidRPr="007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оптовый</w:t>
      </w:r>
      <w:r w:rsidR="007659AB" w:rsidRPr="007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федеральный</w:t>
      </w:r>
      <w:r w:rsidR="002223EB" w:rsidRPr="007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рынок</w:t>
      </w:r>
      <w:r w:rsidRPr="002223EB">
        <w:rPr>
          <w:rFonts w:ascii="Times New Roman" w:hAnsi="Times New Roman"/>
          <w:sz w:val="28"/>
          <w:szCs w:val="28"/>
        </w:rPr>
        <w:t>.</w:t>
      </w:r>
    </w:p>
    <w:p w:rsidR="003C0AB8" w:rsidRPr="004634BC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присутствие </w:t>
      </w:r>
      <w:r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крупнооптовом</w:t>
      </w:r>
      <w:r w:rsidR="00193E03"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федеральном</w:t>
      </w:r>
      <w:r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рынке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субъектов, аффилированных с крупными международными компаниями. Такими хозяйствующим субъектами являются: </w:t>
      </w:r>
    </w:p>
    <w:p w:rsidR="003C0AB8" w:rsidRPr="00684E9A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2FE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лиц PMI (АО «Филип Моррис Ижора», ООО «ФМСМ») входит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международный холдинг PHILIP MORRIS INTERNATIONAL INC (США).</w:t>
      </w:r>
    </w:p>
    <w:p w:rsidR="003C0AB8" w:rsidRPr="004634BC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2FE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лиц BAT (АО «БАТ-</w:t>
      </w:r>
      <w:proofErr w:type="spellStart"/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«МУМТ») входит в международный холдинг BAT </w:t>
      </w:r>
      <w:proofErr w:type="spellStart"/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p.l.c</w:t>
      </w:r>
      <w:proofErr w:type="spellEnd"/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. (Великобритания).</w:t>
      </w:r>
    </w:p>
    <w:p w:rsidR="003C0AB8" w:rsidRDefault="00674809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2FE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AB8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лиц JTI (ООО «</w:t>
      </w:r>
      <w:proofErr w:type="spellStart"/>
      <w:r w:rsidR="003C0AB8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Дж.Т.И</w:t>
      </w:r>
      <w:proofErr w:type="spellEnd"/>
      <w:r w:rsidR="003C0AB8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продукты</w:t>
      </w:r>
      <w:r w:rsidR="003C0AB8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входит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C0AB8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международный холдинг JAPAN TOBACCO INC (Япония).</w:t>
      </w:r>
    </w:p>
    <w:p w:rsidR="004634BC" w:rsidRDefault="004634BC" w:rsidP="004634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лиц I</w:t>
      </w:r>
      <w:r w:rsidR="00FA2236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(ООО «Империал Тобакко Продажа и Маркетинг») входит в международный холдинг IMPERIAL BRANDS (Великобритания) (в начале 2016 года переименовано из </w:t>
      </w:r>
      <w:proofErr w:type="spellStart"/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Imperial</w:t>
      </w:r>
      <w:proofErr w:type="spellEnd"/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Tobacco</w:t>
      </w:r>
      <w:proofErr w:type="spellEnd"/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0AB8" w:rsidRPr="00104E29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лиц </w:t>
      </w:r>
      <w:r w:rsidR="00886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JUUL</w:t>
      </w:r>
      <w:r w:rsidR="00886C25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Джуул</w:t>
      </w:r>
      <w:proofErr w:type="spellEnd"/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Лабс</w:t>
      </w:r>
      <w:proofErr w:type="spellEnd"/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D262FE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34BC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</w:t>
      </w:r>
      <w:r w:rsidR="00104E29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04E29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«ДЖУУЛ ЛАБС ЮК ХОЛДКО ЛИМИТЕД» (Великобритания)</w:t>
      </w:r>
      <w:r w:rsidR="007831C3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B8" w:rsidRPr="004634BC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наличия групп лиц субъектами выделенных рынков являются:</w:t>
      </w:r>
    </w:p>
    <w:p w:rsidR="003C0AB8" w:rsidRPr="004634BC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крупнооптовом</w:t>
      </w:r>
      <w:r w:rsidR="00193E03"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федеральном</w:t>
      </w:r>
      <w:r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рынке: поставщики 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группы лиц BAT, PMI, JTI</w:t>
      </w:r>
      <w:r w:rsidR="007831C3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4BC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A2236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34BC" w:rsidRPr="00FA2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JUUL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63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покупатели 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компаний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«СНС</w:t>
      </w:r>
      <w:r w:rsid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«СНС»)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(единственный, но не эксклюзивный дистрибьютор группы лиц ВАТ), </w:t>
      </w:r>
      <w:r w:rsidR="00675544"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компаний </w:t>
      </w:r>
      <w:r w:rsidR="00675544" w:rsidRPr="00967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«ТК «Мегаполис»</w:t>
      </w:r>
      <w:r w:rsid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ГК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«Мегаполис»</w:t>
      </w:r>
      <w:r w:rsid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(единственный, но не эксклюзивный дистрибьютор</w:t>
      </w:r>
      <w:r w:rsidRPr="004634BC">
        <w:rPr>
          <w:rFonts w:ascii="Times New Roman" w:hAnsi="Times New Roman" w:cs="Times New Roman"/>
          <w:sz w:val="28"/>
          <w:szCs w:val="28"/>
        </w:rPr>
        <w:t xml:space="preserve"> групп лиц 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PMI, JTI</w:t>
      </w:r>
      <w:r w:rsidR="004634BC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C25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один из не эксклюзивных дистрибьютеров группы лиц </w:t>
      </w:r>
      <w:r w:rsidR="004634BC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886C25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01E9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Интертрейд</w:t>
      </w:r>
      <w:proofErr w:type="spellEnd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(единственный </w:t>
      </w:r>
      <w:proofErr w:type="spellStart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дистрибютор</w:t>
      </w:r>
      <w:proofErr w:type="spellEnd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Джуул</w:t>
      </w:r>
      <w:proofErr w:type="spellEnd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5AC7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Лабс</w:t>
      </w:r>
      <w:proofErr w:type="spellEnd"/>
      <w:r w:rsidR="0010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04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="0010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эксклюзивная </w:t>
      </w:r>
      <w:proofErr w:type="spellStart"/>
      <w:r w:rsidR="0010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дистрибьюция</w:t>
      </w:r>
      <w:proofErr w:type="spellEnd"/>
      <w:r w:rsid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один из не эксклюзивных дистрибьюторов группы лиц </w:t>
      </w:r>
      <w:r w:rsidR="00886C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IB</w:t>
      </w:r>
      <w:r w:rsidR="00104E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AB8" w:rsidRPr="004634BC" w:rsidRDefault="00104E29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C0AB8" w:rsidRPr="0088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федеральном оптовом рынке поставщиками являются: </w:t>
      </w:r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ГК «СНС</w:t>
      </w:r>
      <w:proofErr w:type="gramStart"/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86C25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886C25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236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«ТК</w:t>
      </w:r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«Мегаполис», </w:t>
      </w:r>
      <w:r w:rsidR="002901E9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901E9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D14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нтертрейд</w:t>
      </w:r>
      <w:proofErr w:type="spellEnd"/>
      <w:r w:rsidR="002901E9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остальные импортеры</w:t>
      </w:r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3C0AB8" w:rsidRPr="00886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покупателями -</w:t>
      </w:r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</w:t>
      </w:r>
      <w:r w:rsidR="00FA2236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C0AB8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оптового рынка.</w:t>
      </w:r>
      <w:r w:rsidR="003C0AB8" w:rsidRPr="0046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AB8" w:rsidRPr="004A30FD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субъектам </w:t>
      </w:r>
      <w:r w:rsidR="00FA2236"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оптового рынка относятся хозяйствующие субъекты, приобретающие </w:t>
      </w:r>
      <w:proofErr w:type="spellStart"/>
      <w:r w:rsidR="0077635B" w:rsidRPr="00886C25">
        <w:rPr>
          <w:rFonts w:ascii="Times New Roman" w:hAnsi="Times New Roman" w:cs="Times New Roman"/>
          <w:sz w:val="28"/>
          <w:szCs w:val="28"/>
        </w:rPr>
        <w:t>никотиносодержащ</w:t>
      </w:r>
      <w:r w:rsidR="00886C25" w:rsidRPr="00886C25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77635B" w:rsidRPr="00886C25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886C25" w:rsidRPr="00886C25">
        <w:rPr>
          <w:rFonts w:ascii="Times New Roman" w:hAnsi="Times New Roman" w:cs="Times New Roman"/>
          <w:sz w:val="28"/>
          <w:szCs w:val="28"/>
        </w:rPr>
        <w:t>ю</w:t>
      </w:r>
      <w:r w:rsidR="0077635B" w:rsidRPr="00886C25">
        <w:rPr>
          <w:rFonts w:ascii="Times New Roman" w:hAnsi="Times New Roman" w:cs="Times New Roman"/>
          <w:sz w:val="28"/>
          <w:szCs w:val="28"/>
        </w:rPr>
        <w:t xml:space="preserve">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77635B" w:rsidRPr="00886C25">
        <w:rPr>
          <w:rFonts w:ascii="Times New Roman" w:hAnsi="Times New Roman" w:cs="Times New Roman"/>
          <w:sz w:val="28"/>
          <w:szCs w:val="28"/>
        </w:rPr>
        <w:t>, предназначенны</w:t>
      </w:r>
      <w:r w:rsidR="00396AF6">
        <w:rPr>
          <w:rFonts w:ascii="Times New Roman" w:hAnsi="Times New Roman" w:cs="Times New Roman"/>
          <w:sz w:val="28"/>
          <w:szCs w:val="28"/>
        </w:rPr>
        <w:t>е</w:t>
      </w:r>
      <w:r w:rsidR="0077635B" w:rsidRPr="00886C25">
        <w:rPr>
          <w:rFonts w:ascii="Times New Roman" w:hAnsi="Times New Roman" w:cs="Times New Roman"/>
          <w:sz w:val="28"/>
          <w:szCs w:val="28"/>
        </w:rPr>
        <w:t xml:space="preserve"> для потребления никотина способами, отличными от курения табака,</w:t>
      </w:r>
      <w:r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оптом для последующей розничной продажи, а именно крупные торговые сети, владельцы средних и малых торговых форматов</w:t>
      </w:r>
      <w:r w:rsidR="002C1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мелкооптовые дистрибьютеры и розничные продавцы</w:t>
      </w:r>
      <w:r w:rsidRPr="00886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AB8" w:rsidRPr="001D2A16" w:rsidRDefault="003C0AB8" w:rsidP="000F04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Поскольку предмет</w:t>
      </w:r>
      <w:r w:rsidR="001C0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1D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 явля</w:t>
      </w:r>
      <w:r w:rsidR="00776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D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крупнооптовый </w:t>
      </w:r>
      <w:r w:rsidR="009F6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и</w:t>
      </w:r>
      <w:r w:rsidRPr="001D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оптовый рынок (</w:t>
      </w:r>
      <w:r w:rsidRPr="001D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котором работает значительное число субъектов и который влияет на цены розничного рынка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удовлетворение спроса населения), то дальнейшее аналитическое исследование было построено, в том числе, на разграничении указанных рынков.</w:t>
      </w:r>
    </w:p>
    <w:p w:rsidR="003C0AB8" w:rsidRPr="009F6D14" w:rsidRDefault="00EF3D46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3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0AB8"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проведения исследования ФАС России установлена </w:t>
      </w:r>
      <w:r w:rsidR="003C0AB8" w:rsidRPr="004E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многослойность оптов</w:t>
      </w:r>
      <w:r w:rsidR="00A7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3C0AB8" w:rsidRPr="004E0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</w:t>
      </w:r>
      <w:r w:rsidR="00A7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3C0AB8"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1E9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901E9" w:rsidRPr="00A22FDF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C0AB8"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продукция некоторых компаний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AB8"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дойти до </w:t>
      </w:r>
      <w:r w:rsidR="003C0AB8" w:rsidRPr="0047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конечного потребителя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AB8" w:rsidRPr="0047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несколько уровней оптовой реализации </w:t>
      </w:r>
      <w:r w:rsidR="003C0AB8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(товарно-денежные отношения между хозяйствующими субъ</w:t>
      </w:r>
      <w:r w:rsidR="0022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ектами, не</w:t>
      </w:r>
      <w:r w:rsidR="003C0A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при</w:t>
      </w:r>
      <w:r w:rsidR="0022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надлежность</w:t>
      </w:r>
      <w:r w:rsidR="00A40B78" w:rsidRPr="00A4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2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одной группе лиц).</w:t>
      </w:r>
      <w:r w:rsidR="003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ак, например, продукция </w:t>
      </w:r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«БАТ-</w:t>
      </w:r>
      <w:proofErr w:type="spellStart"/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проходит 4 уровня опт</w:t>
      </w:r>
      <w:r w:rsidR="00220C27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продаж</w:t>
      </w:r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0AB8" w:rsidRPr="009F6D14" w:rsidRDefault="009F6D14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6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«БАТ-</w:t>
      </w:r>
      <w:proofErr w:type="spellStart"/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="003C0AB8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реализует продукцию АО «МУМТ»;</w:t>
      </w:r>
    </w:p>
    <w:p w:rsidR="003C0AB8" w:rsidRPr="009F6D14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3D6F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«МУМТ» реализует продукцию ООО «СНС-Холдинг»;</w:t>
      </w:r>
    </w:p>
    <w:p w:rsidR="003C0AB8" w:rsidRPr="001C0381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3D6F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38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«СНС-Холдинг» реализует продукцию группе компаний СНС;</w:t>
      </w:r>
    </w:p>
    <w:p w:rsidR="003C0AB8" w:rsidRDefault="003C0AB8" w:rsidP="000F04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3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63D6F" w:rsidRPr="009F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3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компаний СНС реализует продукцию на федеральный оптовый рынок.</w:t>
      </w:r>
    </w:p>
    <w:p w:rsidR="003927E4" w:rsidRDefault="003C0AB8" w:rsidP="00675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положение на оптов</w:t>
      </w:r>
      <w:r w:rsidR="00290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 w:rsidR="002901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901E9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901E9" w:rsidRPr="00A22FDF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A40B78" w:rsidRPr="00A40B7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01E9" w:rsidRPr="00A22FDF">
        <w:rPr>
          <w:rFonts w:ascii="Times New Roman" w:hAnsi="Times New Roman" w:cs="Times New Roman"/>
          <w:sz w:val="28"/>
          <w:szCs w:val="28"/>
        </w:rPr>
        <w:t xml:space="preserve"> и устройств, предназначенных для потребления никотина способами, отличными от курения табака</w:t>
      </w:r>
      <w:r w:rsidR="0029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особенности ценообразования на </w:t>
      </w:r>
      <w:proofErr w:type="spellStart"/>
      <w:r w:rsidR="001C0381" w:rsidRPr="00A22FDF">
        <w:rPr>
          <w:rFonts w:ascii="Times New Roman" w:hAnsi="Times New Roman" w:cs="Times New Roman"/>
          <w:sz w:val="28"/>
          <w:szCs w:val="28"/>
        </w:rPr>
        <w:t>никотиносодержащ</w:t>
      </w:r>
      <w:r w:rsidR="00D20325">
        <w:rPr>
          <w:rFonts w:ascii="Times New Roman" w:hAnsi="Times New Roman" w:cs="Times New Roman"/>
          <w:sz w:val="28"/>
          <w:szCs w:val="28"/>
        </w:rPr>
        <w:t>у</w:t>
      </w:r>
      <w:r w:rsidR="001C038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C0381" w:rsidRPr="00A22FDF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1C0381">
        <w:rPr>
          <w:rFonts w:ascii="Times New Roman" w:hAnsi="Times New Roman" w:cs="Times New Roman"/>
          <w:sz w:val="28"/>
          <w:szCs w:val="28"/>
        </w:rPr>
        <w:t>ю</w:t>
      </w:r>
      <w:r w:rsidR="001C0381" w:rsidRPr="00A22FDF">
        <w:rPr>
          <w:rFonts w:ascii="Times New Roman" w:hAnsi="Times New Roman" w:cs="Times New Roman"/>
          <w:sz w:val="28"/>
          <w:szCs w:val="28"/>
        </w:rPr>
        <w:t xml:space="preserve"> и устройств</w:t>
      </w:r>
      <w:r w:rsidR="001C0381">
        <w:rPr>
          <w:rFonts w:ascii="Times New Roman" w:hAnsi="Times New Roman" w:cs="Times New Roman"/>
          <w:sz w:val="28"/>
          <w:szCs w:val="28"/>
        </w:rPr>
        <w:t>а</w:t>
      </w:r>
      <w:r w:rsidR="001C0381" w:rsidRPr="00A22FDF">
        <w:rPr>
          <w:rFonts w:ascii="Times New Roman" w:hAnsi="Times New Roman" w:cs="Times New Roman"/>
          <w:sz w:val="28"/>
          <w:szCs w:val="28"/>
        </w:rPr>
        <w:t>, предназначенны</w:t>
      </w:r>
      <w:r w:rsidR="001C0381">
        <w:rPr>
          <w:rFonts w:ascii="Times New Roman" w:hAnsi="Times New Roman" w:cs="Times New Roman"/>
          <w:sz w:val="28"/>
          <w:szCs w:val="28"/>
        </w:rPr>
        <w:t>е</w:t>
      </w:r>
      <w:r w:rsidR="001C0381" w:rsidRPr="00A22FDF">
        <w:rPr>
          <w:rFonts w:ascii="Times New Roman" w:hAnsi="Times New Roman" w:cs="Times New Roman"/>
          <w:sz w:val="28"/>
          <w:szCs w:val="28"/>
        </w:rPr>
        <w:t xml:space="preserve"> для потребления никотина способами, отличными от курения табака</w:t>
      </w:r>
      <w:r w:rsidR="001C0381"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розничном</w:t>
      </w:r>
      <w:r w:rsidRPr="004A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396AF6" w:rsidRDefault="00396AF6" w:rsidP="0067554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C3" w:rsidRDefault="007831C3" w:rsidP="00421405">
      <w:pPr>
        <w:pStyle w:val="ListParagraph"/>
        <w:numPr>
          <w:ilvl w:val="0"/>
          <w:numId w:val="3"/>
        </w:numPr>
        <w:spacing w:after="0" w:line="240" w:lineRule="auto"/>
        <w:ind w:left="1134" w:right="1134" w:hanging="283"/>
        <w:jc w:val="center"/>
        <w:rPr>
          <w:rFonts w:ascii="Times New Roman" w:hAnsi="Times New Roman"/>
          <w:b/>
          <w:sz w:val="28"/>
          <w:szCs w:val="28"/>
        </w:rPr>
      </w:pPr>
      <w:r w:rsidRPr="007831C3">
        <w:rPr>
          <w:rFonts w:ascii="Times New Roman" w:hAnsi="Times New Roman"/>
          <w:b/>
          <w:sz w:val="28"/>
          <w:szCs w:val="28"/>
        </w:rPr>
        <w:t>Расчет объема товарного рынка и долей хозяйствующих субъектов на крупнооптовом</w:t>
      </w:r>
      <w:r w:rsidR="007544C2">
        <w:rPr>
          <w:rFonts w:ascii="Times New Roman" w:hAnsi="Times New Roman"/>
          <w:b/>
          <w:sz w:val="28"/>
          <w:szCs w:val="28"/>
        </w:rPr>
        <w:t xml:space="preserve"> федеральном</w:t>
      </w:r>
      <w:r w:rsidRPr="007831C3">
        <w:rPr>
          <w:rFonts w:ascii="Times New Roman" w:hAnsi="Times New Roman"/>
          <w:b/>
          <w:sz w:val="28"/>
          <w:szCs w:val="28"/>
        </w:rPr>
        <w:t xml:space="preserve"> рынке.</w:t>
      </w:r>
    </w:p>
    <w:p w:rsidR="00421405" w:rsidRDefault="00421405" w:rsidP="00421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7E4" w:rsidRDefault="003927E4" w:rsidP="005F2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обращающиеся на рассматриваемом рынке изделия </w:t>
      </w:r>
      <w:r w:rsidR="00396AF6">
        <w:rPr>
          <w:rFonts w:ascii="Times New Roman" w:hAnsi="Times New Roman"/>
          <w:sz w:val="28"/>
          <w:szCs w:val="28"/>
        </w:rPr>
        <w:t>разнородны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96AF6">
        <w:rPr>
          <w:rFonts w:ascii="Times New Roman" w:hAnsi="Times New Roman"/>
          <w:sz w:val="28"/>
          <w:szCs w:val="28"/>
        </w:rPr>
        <w:t xml:space="preserve">своим </w:t>
      </w:r>
      <w:r>
        <w:rPr>
          <w:rFonts w:ascii="Times New Roman" w:hAnsi="Times New Roman"/>
          <w:sz w:val="28"/>
          <w:szCs w:val="28"/>
        </w:rPr>
        <w:t xml:space="preserve">физико-техническим характеристикам, </w:t>
      </w:r>
      <w:r w:rsidRPr="007C72DD">
        <w:rPr>
          <w:rFonts w:ascii="Times New Roman" w:hAnsi="Times New Roman"/>
          <w:b/>
          <w:sz w:val="28"/>
          <w:szCs w:val="28"/>
        </w:rPr>
        <w:t xml:space="preserve">расчет объема </w:t>
      </w:r>
      <w:r>
        <w:rPr>
          <w:rFonts w:ascii="Times New Roman" w:hAnsi="Times New Roman"/>
          <w:b/>
          <w:sz w:val="28"/>
          <w:szCs w:val="28"/>
        </w:rPr>
        <w:t xml:space="preserve">товарного </w:t>
      </w:r>
      <w:r w:rsidRPr="007C72DD">
        <w:rPr>
          <w:rFonts w:ascii="Times New Roman" w:hAnsi="Times New Roman"/>
          <w:b/>
          <w:sz w:val="28"/>
          <w:szCs w:val="28"/>
        </w:rPr>
        <w:t>рынка</w:t>
      </w:r>
      <w:r>
        <w:rPr>
          <w:rFonts w:ascii="Times New Roman" w:hAnsi="Times New Roman"/>
          <w:b/>
          <w:sz w:val="28"/>
          <w:szCs w:val="28"/>
        </w:rPr>
        <w:t xml:space="preserve"> на крупнооптовом </w:t>
      </w:r>
      <w:r w:rsidR="007544C2">
        <w:rPr>
          <w:rFonts w:ascii="Times New Roman" w:hAnsi="Times New Roman"/>
          <w:b/>
          <w:sz w:val="28"/>
          <w:szCs w:val="28"/>
        </w:rPr>
        <w:t xml:space="preserve">федеральном </w:t>
      </w:r>
      <w:r>
        <w:rPr>
          <w:rFonts w:ascii="Times New Roman" w:hAnsi="Times New Roman"/>
          <w:b/>
          <w:sz w:val="28"/>
          <w:szCs w:val="28"/>
        </w:rPr>
        <w:t>рынке</w:t>
      </w:r>
      <w:r w:rsidRPr="007C72DD">
        <w:rPr>
          <w:rFonts w:ascii="Times New Roman" w:hAnsi="Times New Roman"/>
          <w:b/>
          <w:sz w:val="28"/>
          <w:szCs w:val="28"/>
        </w:rPr>
        <w:t xml:space="preserve"> проводился в стоимостном выражении</w:t>
      </w:r>
      <w:r>
        <w:rPr>
          <w:rFonts w:ascii="Times New Roman" w:hAnsi="Times New Roman"/>
          <w:sz w:val="28"/>
          <w:szCs w:val="28"/>
        </w:rPr>
        <w:t>.</w:t>
      </w:r>
      <w:r w:rsidRPr="00244E2B">
        <w:rPr>
          <w:rFonts w:ascii="Times New Roman" w:hAnsi="Times New Roman"/>
          <w:sz w:val="28"/>
          <w:szCs w:val="28"/>
        </w:rPr>
        <w:t xml:space="preserve"> </w:t>
      </w:r>
    </w:p>
    <w:p w:rsidR="007831C3" w:rsidRDefault="007831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пунктом 6.1 Порядка объем крупнооптового рынка </w:t>
      </w:r>
      <w:r w:rsidRPr="001A2E63">
        <w:rPr>
          <w:rFonts w:ascii="Times New Roman" w:hAnsi="Times New Roman" w:cs="Times New Roman"/>
          <w:sz w:val="28"/>
          <w:szCs w:val="28"/>
        </w:rPr>
        <w:t>за изучаемый период времени был определен как сумма объемов</w:t>
      </w:r>
      <w:r>
        <w:rPr>
          <w:rFonts w:ascii="Times New Roman" w:hAnsi="Times New Roman" w:cs="Times New Roman"/>
          <w:sz w:val="28"/>
          <w:szCs w:val="28"/>
        </w:rPr>
        <w:t xml:space="preserve"> выручки от</w:t>
      </w:r>
      <w:r w:rsidRPr="001A2E63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="00627507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627507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627507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627507">
        <w:rPr>
          <w:rFonts w:ascii="Times New Roman" w:hAnsi="Times New Roman" w:cs="Times New Roman"/>
          <w:sz w:val="28"/>
          <w:szCs w:val="28"/>
        </w:rPr>
        <w:t>,</w:t>
      </w:r>
      <w:r w:rsidRPr="001A2E63">
        <w:rPr>
          <w:rFonts w:ascii="Times New Roman" w:hAnsi="Times New Roman" w:cs="Times New Roman"/>
          <w:sz w:val="28"/>
          <w:szCs w:val="28"/>
        </w:rPr>
        <w:t xml:space="preserve">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стоимостном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выражении</w:t>
      </w:r>
      <w:r w:rsidRPr="001A2E63">
        <w:rPr>
          <w:rFonts w:ascii="Times New Roman" w:hAnsi="Times New Roman" w:cs="Times New Roman"/>
          <w:sz w:val="28"/>
          <w:szCs w:val="28"/>
        </w:rPr>
        <w:t xml:space="preserve"> по РФ хозяйствующими субъектами, действующими на рассматриваемом товарном рынке в пределах установленных географических границ рынка,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крупнооптовым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(АО «ТК «Мегаполис», </w:t>
      </w:r>
      <w:r w:rsidR="003E66EC" w:rsidRPr="003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ГК</w:t>
      </w:r>
      <w:r w:rsidRPr="0039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«СНС», ООО «</w:t>
      </w:r>
      <w:proofErr w:type="spellStart"/>
      <w:r w:rsidRPr="003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6D14" w:rsidRPr="0039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нтертрейд</w:t>
      </w:r>
      <w:proofErr w:type="spellEnd"/>
      <w:r w:rsidRPr="00393A5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1C3" w:rsidRPr="001A2E63" w:rsidRDefault="007831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хозяйствующими субъектами информации</w:t>
      </w:r>
      <w:r w:rsidR="00220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выручки от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оптовых п</w:t>
      </w:r>
      <w:r w:rsidRPr="001A2E63">
        <w:rPr>
          <w:rFonts w:ascii="Times New Roman" w:hAnsi="Times New Roman" w:cs="Times New Roman"/>
          <w:sz w:val="28"/>
          <w:szCs w:val="28"/>
        </w:rPr>
        <w:t xml:space="preserve">родаж </w:t>
      </w:r>
      <w:proofErr w:type="spellStart"/>
      <w:r w:rsidR="00627507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627507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627507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627507">
        <w:rPr>
          <w:rFonts w:ascii="Times New Roman" w:hAnsi="Times New Roman" w:cs="Times New Roman"/>
          <w:sz w:val="28"/>
          <w:szCs w:val="28"/>
        </w:rPr>
        <w:t>,</w:t>
      </w:r>
      <w:r w:rsidRPr="001A2E63">
        <w:rPr>
          <w:rFonts w:ascii="Times New Roman" w:hAnsi="Times New Roman" w:cs="Times New Roman"/>
          <w:sz w:val="28"/>
          <w:szCs w:val="28"/>
        </w:rPr>
        <w:t xml:space="preserve">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стоимостном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выражении</w:t>
      </w:r>
      <w:r w:rsidRPr="001A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крупнооптовым покупателям</w:t>
      </w:r>
      <w:r w:rsidR="00220C2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0CD" w:rsidRDefault="005510A6" w:rsidP="00BA30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2018 году – </w:t>
      </w:r>
      <w:r w:rsidR="00B92A58" w:rsidRPr="00B9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="00B9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A58" w:rsidRPr="00B9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478</w:t>
      </w:r>
      <w:r w:rsidR="00B9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2A58" w:rsidRPr="00B9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417,478</w:t>
      </w:r>
      <w:r w:rsidR="00B92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599A" w:rsidRPr="00B92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 руб.</w:t>
      </w:r>
    </w:p>
    <w:p w:rsidR="007831C3" w:rsidRPr="00BA30CD" w:rsidRDefault="007831C3" w:rsidP="00BA30C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2019 году – </w:t>
      </w:r>
      <w:r w:rsidR="00BA30CD" w:rsidRPr="00BA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85</w:t>
      </w:r>
      <w:r w:rsidR="00BA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30CD" w:rsidRPr="00BA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219</w:t>
      </w:r>
      <w:r w:rsidR="00BA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30CD" w:rsidRPr="00BA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352,72</w:t>
      </w:r>
      <w:r w:rsidR="00393A57" w:rsidRPr="00BA3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3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 руб.</w:t>
      </w:r>
      <w:r w:rsidRPr="00BA30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;</w:t>
      </w:r>
    </w:p>
    <w:p w:rsidR="009A599A" w:rsidRPr="009A599A" w:rsidRDefault="009A599A" w:rsidP="009A59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99A">
        <w:rPr>
          <w:rFonts w:ascii="Times New Roman" w:hAnsi="Times New Roman"/>
          <w:sz w:val="28"/>
          <w:szCs w:val="28"/>
        </w:rPr>
        <w:lastRenderedPageBreak/>
        <w:t>Таким образом</w:t>
      </w:r>
      <w:r w:rsidR="00D20325">
        <w:rPr>
          <w:rFonts w:ascii="Times New Roman" w:hAnsi="Times New Roman"/>
          <w:sz w:val="28"/>
          <w:szCs w:val="28"/>
        </w:rPr>
        <w:t>,</w:t>
      </w:r>
      <w:r w:rsidRPr="009A599A">
        <w:rPr>
          <w:rFonts w:ascii="Times New Roman" w:hAnsi="Times New Roman"/>
          <w:sz w:val="28"/>
          <w:szCs w:val="28"/>
        </w:rPr>
        <w:t xml:space="preserve"> </w:t>
      </w:r>
      <w:r w:rsidRPr="009A599A">
        <w:rPr>
          <w:rFonts w:ascii="Times New Roman" w:hAnsi="Times New Roman"/>
          <w:b/>
          <w:sz w:val="28"/>
          <w:szCs w:val="28"/>
        </w:rPr>
        <w:t>показатели крупнооптовой реализации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9A599A">
        <w:rPr>
          <w:rFonts w:ascii="Times New Roman" w:hAnsi="Times New Roman"/>
          <w:b/>
          <w:sz w:val="28"/>
          <w:szCs w:val="28"/>
        </w:rPr>
        <w:t xml:space="preserve"> году </w:t>
      </w:r>
      <w:r w:rsidRPr="00B92A58">
        <w:rPr>
          <w:rFonts w:ascii="Times New Roman" w:hAnsi="Times New Roman"/>
          <w:b/>
          <w:sz w:val="28"/>
          <w:szCs w:val="28"/>
        </w:rPr>
        <w:t>увеличились</w:t>
      </w:r>
      <w:r w:rsidRPr="009A599A">
        <w:rPr>
          <w:rFonts w:ascii="Times New Roman" w:hAnsi="Times New Roman"/>
          <w:sz w:val="28"/>
          <w:szCs w:val="28"/>
        </w:rPr>
        <w:t xml:space="preserve"> относительно 201</w:t>
      </w:r>
      <w:r>
        <w:rPr>
          <w:rFonts w:ascii="Times New Roman" w:hAnsi="Times New Roman"/>
          <w:sz w:val="28"/>
          <w:szCs w:val="28"/>
        </w:rPr>
        <w:t>8</w:t>
      </w:r>
      <w:r w:rsidRPr="009A599A">
        <w:rPr>
          <w:rFonts w:ascii="Times New Roman" w:hAnsi="Times New Roman"/>
          <w:sz w:val="28"/>
          <w:szCs w:val="28"/>
        </w:rPr>
        <w:t xml:space="preserve"> года</w:t>
      </w:r>
      <w:r w:rsidRPr="009A599A">
        <w:rPr>
          <w:rFonts w:ascii="Times New Roman" w:hAnsi="Times New Roman"/>
          <w:b/>
          <w:sz w:val="28"/>
          <w:szCs w:val="28"/>
        </w:rPr>
        <w:t xml:space="preserve"> на </w:t>
      </w:r>
      <w:r w:rsidR="005465FE">
        <w:rPr>
          <w:rFonts w:ascii="Times New Roman" w:hAnsi="Times New Roman"/>
          <w:b/>
          <w:sz w:val="28"/>
          <w:szCs w:val="28"/>
        </w:rPr>
        <w:t>199</w:t>
      </w:r>
      <w:r w:rsidRPr="009A599A">
        <w:rPr>
          <w:rFonts w:ascii="Times New Roman" w:hAnsi="Times New Roman"/>
          <w:b/>
          <w:sz w:val="28"/>
          <w:szCs w:val="28"/>
        </w:rPr>
        <w:t xml:space="preserve"> процентных пункт</w:t>
      </w:r>
      <w:r w:rsidR="00D20325">
        <w:rPr>
          <w:rFonts w:ascii="Times New Roman" w:hAnsi="Times New Roman"/>
          <w:b/>
          <w:sz w:val="28"/>
          <w:szCs w:val="28"/>
        </w:rPr>
        <w:t>ов</w:t>
      </w:r>
      <w:r w:rsidRPr="009A599A">
        <w:rPr>
          <w:rFonts w:ascii="Times New Roman" w:hAnsi="Times New Roman"/>
          <w:b/>
          <w:sz w:val="28"/>
          <w:szCs w:val="28"/>
        </w:rPr>
        <w:t xml:space="preserve"> </w:t>
      </w:r>
      <w:r w:rsidRPr="009A599A">
        <w:rPr>
          <w:rFonts w:ascii="Times New Roman" w:hAnsi="Times New Roman"/>
          <w:sz w:val="28"/>
          <w:szCs w:val="28"/>
        </w:rPr>
        <w:t>(</w:t>
      </w:r>
      <w:proofErr w:type="spellStart"/>
      <w:r w:rsidRPr="009A599A">
        <w:rPr>
          <w:rFonts w:ascii="Times New Roman" w:hAnsi="Times New Roman"/>
          <w:sz w:val="28"/>
          <w:szCs w:val="28"/>
        </w:rPr>
        <w:t>п.п</w:t>
      </w:r>
      <w:proofErr w:type="spellEnd"/>
      <w:r w:rsidRPr="009A599A">
        <w:rPr>
          <w:rFonts w:ascii="Times New Roman" w:hAnsi="Times New Roman"/>
          <w:sz w:val="28"/>
          <w:szCs w:val="28"/>
        </w:rPr>
        <w:t>.).</w:t>
      </w:r>
    </w:p>
    <w:p w:rsidR="007831C3" w:rsidRDefault="007831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долей хозяйствующих субъектов на</w:t>
      </w:r>
      <w:r w:rsidR="0022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крупнооптовом федеральном</w:t>
      </w:r>
      <w:r w:rsidRPr="0008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 производился в соответствии с пунктом 6.3 Порядка. Были определены доли хозяйствующих субъектов, действующих на крупнооптовом рынке, а также их принадлежность к группе лиц. </w:t>
      </w:r>
    </w:p>
    <w:p w:rsidR="007D5712" w:rsidRDefault="007831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поставщиков на крупнооптовый рынок</w:t>
      </w:r>
      <w:r w:rsidR="003E5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исследуемый период </w:t>
      </w:r>
      <w:r w:rsidR="00057D8B" w:rsidRPr="00B4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таблице 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582A" w:rsidRPr="00B42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4FD" w:rsidRDefault="001304FD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EF7" w:rsidRPr="00534EF7" w:rsidRDefault="00534EF7" w:rsidP="00534E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2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D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42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1843"/>
        <w:gridCol w:w="944"/>
        <w:gridCol w:w="1988"/>
        <w:gridCol w:w="895"/>
        <w:gridCol w:w="1412"/>
      </w:tblGrid>
      <w:tr w:rsidR="00BD0D2F" w:rsidTr="007265E8">
        <w:tc>
          <w:tcPr>
            <w:tcW w:w="3114" w:type="dxa"/>
            <w:shd w:val="clear" w:color="auto" w:fill="006666"/>
          </w:tcPr>
          <w:p w:rsidR="00BD0D2F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3E582A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006666"/>
          </w:tcPr>
          <w:p w:rsidR="00BD0D2F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Объем выручки от продаж (</w:t>
            </w:r>
            <w:proofErr w:type="spellStart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тыс.руб</w:t>
            </w:r>
            <w:proofErr w:type="spellEnd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.)</w:t>
            </w:r>
          </w:p>
          <w:p w:rsidR="003E582A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2018</w:t>
            </w:r>
          </w:p>
        </w:tc>
        <w:tc>
          <w:tcPr>
            <w:tcW w:w="944" w:type="dxa"/>
            <w:shd w:val="clear" w:color="auto" w:fill="006666"/>
          </w:tcPr>
          <w:p w:rsidR="00B42286" w:rsidRPr="007265E8" w:rsidRDefault="00B42286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3E582A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Доля</w:t>
            </w:r>
          </w:p>
          <w:p w:rsidR="00BD0D2F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2018</w:t>
            </w:r>
          </w:p>
        </w:tc>
        <w:tc>
          <w:tcPr>
            <w:tcW w:w="1988" w:type="dxa"/>
            <w:shd w:val="clear" w:color="auto" w:fill="006666"/>
          </w:tcPr>
          <w:p w:rsidR="00BD0D2F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Объем выручки от продаж (</w:t>
            </w:r>
            <w:proofErr w:type="spellStart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тыс.руб</w:t>
            </w:r>
            <w:proofErr w:type="spellEnd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.)</w:t>
            </w:r>
          </w:p>
          <w:p w:rsidR="003E582A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2019</w:t>
            </w:r>
          </w:p>
        </w:tc>
        <w:tc>
          <w:tcPr>
            <w:tcW w:w="895" w:type="dxa"/>
            <w:shd w:val="clear" w:color="auto" w:fill="006666"/>
          </w:tcPr>
          <w:p w:rsidR="00B42286" w:rsidRPr="007265E8" w:rsidRDefault="00B42286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3E582A" w:rsidRPr="007265E8" w:rsidRDefault="003E582A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Доля</w:t>
            </w:r>
          </w:p>
          <w:p w:rsidR="00BD0D2F" w:rsidRPr="007265E8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2019</w:t>
            </w:r>
          </w:p>
        </w:tc>
        <w:tc>
          <w:tcPr>
            <w:tcW w:w="1412" w:type="dxa"/>
            <w:shd w:val="clear" w:color="auto" w:fill="006666"/>
          </w:tcPr>
          <w:p w:rsidR="00B42286" w:rsidRPr="007265E8" w:rsidRDefault="00B42286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3E582A" w:rsidRPr="007265E8" w:rsidRDefault="003E582A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2019 к 2018</w:t>
            </w:r>
          </w:p>
        </w:tc>
      </w:tr>
      <w:tr w:rsidR="00BD0D2F" w:rsidTr="005465FE">
        <w:tc>
          <w:tcPr>
            <w:tcW w:w="3114" w:type="dxa"/>
          </w:tcPr>
          <w:p w:rsidR="005465FE" w:rsidRPr="005465FE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ГЛ </w:t>
            </w:r>
            <w:r w:rsidRPr="005465FE">
              <w:rPr>
                <w:rFonts w:ascii="Times New Roman" w:eastAsia="Times New Roman" w:hAnsi="Times New Roman" w:cs="Times New Roman"/>
                <w:b/>
                <w:lang w:eastAsia="ru-RU"/>
              </w:rPr>
              <w:t>PMI</w:t>
            </w:r>
            <w:r w:rsidR="00663878" w:rsidRPr="005465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D0D2F" w:rsidRPr="005465FE" w:rsidRDefault="00663878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i/>
                <w:lang w:eastAsia="ru-RU"/>
              </w:rPr>
              <w:t>(АО «Филип Моррис Ижора», ООО «ФМСМ»)</w:t>
            </w:r>
          </w:p>
        </w:tc>
        <w:tc>
          <w:tcPr>
            <w:tcW w:w="1843" w:type="dxa"/>
          </w:tcPr>
          <w:p w:rsidR="00B42286" w:rsidRPr="00D20325" w:rsidRDefault="00B42286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D2F" w:rsidRPr="00BE23A1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944" w:type="dxa"/>
          </w:tcPr>
          <w:p w:rsidR="00B42286" w:rsidRPr="00D20325" w:rsidRDefault="00B42286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D0D2F" w:rsidRPr="00D20325" w:rsidRDefault="005465FE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96,63</w:t>
            </w:r>
            <w:r w:rsidR="00BD0D2F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988" w:type="dxa"/>
            <w:vAlign w:val="center"/>
          </w:tcPr>
          <w:p w:rsidR="00BD0D2F" w:rsidRPr="00D20325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895" w:type="dxa"/>
          </w:tcPr>
          <w:p w:rsidR="00B42286" w:rsidRPr="00D20325" w:rsidRDefault="00B42286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D0D2F" w:rsidRPr="00D20325" w:rsidRDefault="00B42286" w:rsidP="00BA30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  <w:r w:rsidR="00BD0D2F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BA30CD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BD0D2F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412" w:type="dxa"/>
          </w:tcPr>
          <w:p w:rsidR="00B42286" w:rsidRPr="0086180E" w:rsidRDefault="00B42286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BD0D2F" w:rsidRPr="0086180E" w:rsidRDefault="00037A7D" w:rsidP="00037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-6</w:t>
            </w:r>
            <w:r w:rsidR="00BD0D2F"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  <w:r w:rsidR="00BA30CD"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  <w:r w:rsidR="00BD0D2F"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%</w:t>
            </w:r>
          </w:p>
        </w:tc>
      </w:tr>
      <w:tr w:rsidR="00BD0D2F" w:rsidTr="005465FE">
        <w:tc>
          <w:tcPr>
            <w:tcW w:w="3114" w:type="dxa"/>
          </w:tcPr>
          <w:p w:rsidR="005465FE" w:rsidRPr="005465FE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ГЛ </w:t>
            </w:r>
            <w:r w:rsidRPr="005465FE">
              <w:rPr>
                <w:rFonts w:ascii="Times New Roman" w:eastAsia="Times New Roman" w:hAnsi="Times New Roman" w:cs="Times New Roman"/>
                <w:b/>
                <w:lang w:eastAsia="ru-RU"/>
              </w:rPr>
              <w:t>BAT</w:t>
            </w:r>
            <w:r w:rsidR="00663878" w:rsidRPr="005465F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E0588" w:rsidRDefault="00663878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i/>
                <w:lang w:eastAsia="ru-RU"/>
              </w:rPr>
              <w:t>(ЗАО «БАТ-</w:t>
            </w:r>
            <w:proofErr w:type="spellStart"/>
            <w:r w:rsidRPr="005465FE">
              <w:rPr>
                <w:rFonts w:ascii="Times New Roman" w:eastAsia="Times New Roman" w:hAnsi="Times New Roman" w:cs="Times New Roman"/>
                <w:i/>
                <w:lang w:eastAsia="ru-RU"/>
              </w:rPr>
              <w:t>Спб</w:t>
            </w:r>
            <w:proofErr w:type="spellEnd"/>
            <w:r w:rsidRPr="005465F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</w:t>
            </w:r>
          </w:p>
          <w:p w:rsidR="00BD0D2F" w:rsidRPr="005465FE" w:rsidRDefault="00663878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i/>
                <w:lang w:eastAsia="ru-RU"/>
              </w:rPr>
              <w:t>АО «МУМТ»)</w:t>
            </w:r>
          </w:p>
        </w:tc>
        <w:tc>
          <w:tcPr>
            <w:tcW w:w="1843" w:type="dxa"/>
          </w:tcPr>
          <w:p w:rsidR="00B42286" w:rsidRPr="00D20325" w:rsidRDefault="00B42286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0D2F" w:rsidRPr="00D20325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944" w:type="dxa"/>
          </w:tcPr>
          <w:p w:rsidR="00B42286" w:rsidRPr="00D20325" w:rsidRDefault="00B42286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D0D2F" w:rsidRPr="00D20325" w:rsidRDefault="00BD0D2F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  <w:r w:rsidR="005465FE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988" w:type="dxa"/>
            <w:vAlign w:val="center"/>
          </w:tcPr>
          <w:p w:rsidR="00BD0D2F" w:rsidRPr="00D20325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895" w:type="dxa"/>
          </w:tcPr>
          <w:p w:rsidR="00B42286" w:rsidRPr="00D20325" w:rsidRDefault="00B42286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BD0D2F" w:rsidRPr="00D20325" w:rsidRDefault="00BD0D2F" w:rsidP="00B42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</w:t>
            </w:r>
            <w:r w:rsidR="00B42286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412" w:type="dxa"/>
          </w:tcPr>
          <w:p w:rsidR="005F28A1" w:rsidRPr="0086180E" w:rsidRDefault="005F28A1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  <w:p w:rsidR="00BD0D2F" w:rsidRPr="0086180E" w:rsidRDefault="00037A7D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182,47</w:t>
            </w:r>
            <w:r w:rsidR="00BD0D2F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%</w:t>
            </w:r>
          </w:p>
        </w:tc>
      </w:tr>
      <w:tr w:rsidR="00BD0D2F" w:rsidTr="00B42286">
        <w:trPr>
          <w:trHeight w:val="341"/>
        </w:trPr>
        <w:tc>
          <w:tcPr>
            <w:tcW w:w="3114" w:type="dxa"/>
          </w:tcPr>
          <w:p w:rsidR="00BD0D2F" w:rsidRPr="005465FE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>Джуул</w:t>
            </w:r>
            <w:proofErr w:type="spellEnd"/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>Лабс</w:t>
            </w:r>
            <w:proofErr w:type="spellEnd"/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5465F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F69D8" w:rsidRPr="005465FE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End"/>
          </w:p>
        </w:tc>
        <w:tc>
          <w:tcPr>
            <w:tcW w:w="1843" w:type="dxa"/>
          </w:tcPr>
          <w:p w:rsidR="00BD0D2F" w:rsidRPr="00D20325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944" w:type="dxa"/>
          </w:tcPr>
          <w:p w:rsidR="00BD0D2F" w:rsidRPr="00D20325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988" w:type="dxa"/>
            <w:vAlign w:val="center"/>
          </w:tcPr>
          <w:p w:rsidR="00BD0D2F" w:rsidRPr="00D20325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895" w:type="dxa"/>
          </w:tcPr>
          <w:p w:rsidR="00BD0D2F" w:rsidRPr="00D20325" w:rsidRDefault="00BD0D2F" w:rsidP="00B422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  <w:r w:rsidR="00B42286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412" w:type="dxa"/>
          </w:tcPr>
          <w:p w:rsidR="00BD0D2F" w:rsidRPr="0086180E" w:rsidRDefault="00037A7D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0</w:t>
            </w:r>
            <w:r w:rsidR="00BD0D2F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%</w:t>
            </w:r>
          </w:p>
        </w:tc>
      </w:tr>
      <w:tr w:rsidR="00BD0D2F" w:rsidTr="005465FE">
        <w:tc>
          <w:tcPr>
            <w:tcW w:w="3114" w:type="dxa"/>
          </w:tcPr>
          <w:p w:rsidR="005465FE" w:rsidRPr="005465FE" w:rsidRDefault="00BD0D2F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ГЛ JTI</w:t>
            </w:r>
            <w:r w:rsidR="00663878"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3E582A" w:rsidRPr="005465FE" w:rsidRDefault="00663878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(ООО «</w:t>
            </w:r>
            <w:proofErr w:type="spellStart"/>
            <w:r w:rsidR="005465FE"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Дж.Т.И</w:t>
            </w:r>
            <w:proofErr w:type="spellEnd"/>
            <w:r w:rsidR="005465FE"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. </w:t>
            </w:r>
            <w:r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Инновационные</w:t>
            </w:r>
            <w:r w:rsidR="005465FE"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</w:t>
            </w:r>
            <w:r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продукты»)</w:t>
            </w:r>
          </w:p>
        </w:tc>
        <w:tc>
          <w:tcPr>
            <w:tcW w:w="1843" w:type="dxa"/>
          </w:tcPr>
          <w:p w:rsidR="00B42286" w:rsidRPr="00D20325" w:rsidRDefault="00B42286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582A" w:rsidRPr="00D20325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944" w:type="dxa"/>
          </w:tcPr>
          <w:p w:rsidR="00B42286" w:rsidRPr="00D20325" w:rsidRDefault="00B42286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582A" w:rsidRPr="00D20325" w:rsidRDefault="00BD0D2F" w:rsidP="005465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  <w:r w:rsidR="005465FE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988" w:type="dxa"/>
          </w:tcPr>
          <w:p w:rsidR="005F28A1" w:rsidRPr="00D20325" w:rsidRDefault="005F28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E582A" w:rsidRPr="00D20325" w:rsidRDefault="00BE23A1" w:rsidP="00BD0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895" w:type="dxa"/>
          </w:tcPr>
          <w:p w:rsidR="005F28A1" w:rsidRPr="00D20325" w:rsidRDefault="005F28A1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E582A" w:rsidRPr="00D20325" w:rsidRDefault="00BD0D2F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  <w:r w:rsidR="005F28A1"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412" w:type="dxa"/>
          </w:tcPr>
          <w:p w:rsidR="005F28A1" w:rsidRPr="0086180E" w:rsidRDefault="005F28A1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  <w:p w:rsidR="003E582A" w:rsidRPr="0086180E" w:rsidRDefault="00E438E2" w:rsidP="00BD0D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95,83</w:t>
            </w:r>
            <w:r w:rsidR="00BD0D2F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%</w:t>
            </w:r>
          </w:p>
        </w:tc>
      </w:tr>
      <w:tr w:rsidR="005F28A1" w:rsidTr="005465FE">
        <w:tc>
          <w:tcPr>
            <w:tcW w:w="3114" w:type="dxa"/>
          </w:tcPr>
          <w:p w:rsidR="005F28A1" w:rsidRPr="005465FE" w:rsidRDefault="005F28A1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ГЛ </w:t>
            </w:r>
            <w:r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IB</w:t>
            </w:r>
            <w:r w:rsidRPr="005465F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5F28A1" w:rsidRPr="005465FE" w:rsidRDefault="005F28A1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5465FE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(ООО «Империал Тобакко Продажа и Маркетинг»)</w:t>
            </w:r>
          </w:p>
        </w:tc>
        <w:tc>
          <w:tcPr>
            <w:tcW w:w="1843" w:type="dxa"/>
          </w:tcPr>
          <w:p w:rsidR="005F28A1" w:rsidRPr="00D20325" w:rsidRDefault="005F28A1" w:rsidP="005F28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F28A1" w:rsidRPr="00D20325" w:rsidRDefault="00BE23A1" w:rsidP="005F28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944" w:type="dxa"/>
          </w:tcPr>
          <w:p w:rsidR="005F28A1" w:rsidRPr="00D20325" w:rsidRDefault="005F28A1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5F28A1" w:rsidRPr="00D20325" w:rsidRDefault="005F28A1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03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0,32%</w:t>
            </w:r>
          </w:p>
        </w:tc>
        <w:tc>
          <w:tcPr>
            <w:tcW w:w="1988" w:type="dxa"/>
          </w:tcPr>
          <w:p w:rsidR="005F28A1" w:rsidRPr="00D20325" w:rsidRDefault="005F28A1" w:rsidP="005F28A1">
            <w:pPr>
              <w:jc w:val="center"/>
              <w:rPr>
                <w:rFonts w:ascii="Times New Roman" w:hAnsi="Times New Roman" w:cs="Times New Roman"/>
              </w:rPr>
            </w:pPr>
          </w:p>
          <w:p w:rsidR="005F28A1" w:rsidRPr="00D20325" w:rsidRDefault="00BE23A1" w:rsidP="005F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895" w:type="dxa"/>
          </w:tcPr>
          <w:p w:rsidR="005F28A1" w:rsidRPr="00D20325" w:rsidRDefault="005F28A1" w:rsidP="005F28A1">
            <w:pPr>
              <w:jc w:val="center"/>
              <w:rPr>
                <w:rFonts w:ascii="Times New Roman" w:hAnsi="Times New Roman" w:cs="Times New Roman"/>
              </w:rPr>
            </w:pPr>
          </w:p>
          <w:p w:rsidR="005F28A1" w:rsidRPr="00D20325" w:rsidRDefault="005F28A1" w:rsidP="005F28A1">
            <w:pPr>
              <w:jc w:val="center"/>
              <w:rPr>
                <w:rFonts w:ascii="Times New Roman" w:hAnsi="Times New Roman" w:cs="Times New Roman"/>
              </w:rPr>
            </w:pPr>
            <w:r w:rsidRPr="00D20325">
              <w:rPr>
                <w:rFonts w:ascii="Times New Roman" w:hAnsi="Times New Roman" w:cs="Times New Roman"/>
              </w:rPr>
              <w:t>1,26%</w:t>
            </w:r>
          </w:p>
        </w:tc>
        <w:tc>
          <w:tcPr>
            <w:tcW w:w="1412" w:type="dxa"/>
          </w:tcPr>
          <w:p w:rsidR="005F28A1" w:rsidRPr="0086180E" w:rsidRDefault="005F28A1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  <w:p w:rsidR="005F28A1" w:rsidRPr="0086180E" w:rsidRDefault="00E438E2" w:rsidP="005F28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293,75</w:t>
            </w:r>
            <w:r w:rsidR="001E0588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%</w:t>
            </w:r>
          </w:p>
        </w:tc>
      </w:tr>
    </w:tbl>
    <w:p w:rsidR="003E582A" w:rsidRPr="00C4451F" w:rsidRDefault="000F69D8" w:rsidP="007C3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*Информация о реализации продукции ООО «</w:t>
      </w:r>
      <w:proofErr w:type="spellStart"/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Джуул</w:t>
      </w:r>
      <w:proofErr w:type="spellEnd"/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Лабс</w:t>
      </w:r>
      <w:proofErr w:type="spellEnd"/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Ру</w:t>
      </w:r>
      <w:proofErr w:type="spellEnd"/>
      <w:r w:rsidRPr="00C4451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» не представлена за 2018 год, в связи с тем, что компания начала осуществлять свою деятельность на территории Российской Федерации с конца 2018 года.</w:t>
      </w:r>
    </w:p>
    <w:p w:rsidR="00BA30CD" w:rsidRDefault="00BA30CD" w:rsidP="007C3A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sz w:val="18"/>
          <w:szCs w:val="18"/>
          <w:lang w:eastAsia="ru-RU"/>
        </w:rPr>
      </w:pPr>
    </w:p>
    <w:p w:rsidR="000E0E67" w:rsidRDefault="000E0E67" w:rsidP="007C3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A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D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bookmarkStart w:id="0" w:name="_Toc388459822"/>
      <w:r w:rsidRPr="001D2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объема товарного рынка и долей хозяйствующих субъектов на оптовом федеральном рынке</w:t>
      </w:r>
      <w:bookmarkEnd w:id="0"/>
    </w:p>
    <w:p w:rsidR="000E0E67" w:rsidRPr="001D2A16" w:rsidRDefault="000E0E67" w:rsidP="007C3A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01" w:rsidRDefault="00A76301" w:rsidP="007C3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обращающиеся на рассматриваемом рынке изделия </w:t>
      </w:r>
      <w:r w:rsidR="00396AF6">
        <w:rPr>
          <w:rFonts w:ascii="Times New Roman" w:hAnsi="Times New Roman"/>
          <w:sz w:val="28"/>
          <w:szCs w:val="28"/>
        </w:rPr>
        <w:t>разнородны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96AF6">
        <w:rPr>
          <w:rFonts w:ascii="Times New Roman" w:hAnsi="Times New Roman"/>
          <w:sz w:val="28"/>
          <w:szCs w:val="28"/>
        </w:rPr>
        <w:t xml:space="preserve">своим </w:t>
      </w:r>
      <w:r>
        <w:rPr>
          <w:rFonts w:ascii="Times New Roman" w:hAnsi="Times New Roman"/>
          <w:sz w:val="28"/>
          <w:szCs w:val="28"/>
        </w:rPr>
        <w:t xml:space="preserve">физико-техническим характеристикам, </w:t>
      </w:r>
      <w:r w:rsidRPr="007C72DD">
        <w:rPr>
          <w:rFonts w:ascii="Times New Roman" w:hAnsi="Times New Roman"/>
          <w:b/>
          <w:sz w:val="28"/>
          <w:szCs w:val="28"/>
        </w:rPr>
        <w:t xml:space="preserve">расчет объема </w:t>
      </w:r>
      <w:r>
        <w:rPr>
          <w:rFonts w:ascii="Times New Roman" w:hAnsi="Times New Roman"/>
          <w:b/>
          <w:sz w:val="28"/>
          <w:szCs w:val="28"/>
        </w:rPr>
        <w:t xml:space="preserve">товарного </w:t>
      </w:r>
      <w:r w:rsidRPr="007C72DD">
        <w:rPr>
          <w:rFonts w:ascii="Times New Roman" w:hAnsi="Times New Roman"/>
          <w:b/>
          <w:sz w:val="28"/>
          <w:szCs w:val="28"/>
        </w:rPr>
        <w:t>рынка</w:t>
      </w:r>
      <w:r>
        <w:rPr>
          <w:rFonts w:ascii="Times New Roman" w:hAnsi="Times New Roman"/>
          <w:b/>
          <w:sz w:val="28"/>
          <w:szCs w:val="28"/>
        </w:rPr>
        <w:t xml:space="preserve"> на оптовом федеральном рынке</w:t>
      </w:r>
      <w:r w:rsidRPr="007C72DD">
        <w:rPr>
          <w:rFonts w:ascii="Times New Roman" w:hAnsi="Times New Roman"/>
          <w:b/>
          <w:sz w:val="28"/>
          <w:szCs w:val="28"/>
        </w:rPr>
        <w:t xml:space="preserve"> проводился в стоимостном выражении</w:t>
      </w:r>
      <w:r>
        <w:rPr>
          <w:rFonts w:ascii="Times New Roman" w:hAnsi="Times New Roman"/>
          <w:sz w:val="28"/>
          <w:szCs w:val="28"/>
        </w:rPr>
        <w:t>.</w:t>
      </w:r>
      <w:r w:rsidRPr="00244E2B">
        <w:rPr>
          <w:rFonts w:ascii="Times New Roman" w:hAnsi="Times New Roman"/>
          <w:sz w:val="28"/>
          <w:szCs w:val="28"/>
        </w:rPr>
        <w:t xml:space="preserve"> </w:t>
      </w:r>
    </w:p>
    <w:p w:rsidR="000E0E67" w:rsidRDefault="000E0E67" w:rsidP="000E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63">
        <w:rPr>
          <w:rFonts w:ascii="Times New Roman" w:hAnsi="Times New Roman" w:cs="Times New Roman"/>
          <w:sz w:val="28"/>
          <w:szCs w:val="28"/>
        </w:rPr>
        <w:t>В соответствии с пунктом 6.1 Порядка общий объем рынка за изучаемый период времени был определен как сумма объемов</w:t>
      </w:r>
      <w:r>
        <w:rPr>
          <w:rFonts w:ascii="Times New Roman" w:hAnsi="Times New Roman" w:cs="Times New Roman"/>
          <w:sz w:val="28"/>
          <w:szCs w:val="28"/>
        </w:rPr>
        <w:t xml:space="preserve"> выручки от</w:t>
      </w:r>
      <w:r w:rsidRPr="001A2E63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E63">
        <w:rPr>
          <w:rFonts w:ascii="Times New Roman" w:hAnsi="Times New Roman" w:cs="Times New Roman"/>
          <w:sz w:val="28"/>
          <w:szCs w:val="28"/>
        </w:rPr>
        <w:t xml:space="preserve">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стоимостном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выражении</w:t>
      </w:r>
      <w:r w:rsidRPr="001A2E63">
        <w:rPr>
          <w:rFonts w:ascii="Times New Roman" w:hAnsi="Times New Roman" w:cs="Times New Roman"/>
          <w:sz w:val="28"/>
          <w:szCs w:val="28"/>
        </w:rPr>
        <w:t xml:space="preserve"> по РФ хозяйствующими субъектами, действующими на рассматриваемом товарном рынке в пределах установленных географических границ рынка,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оптовым покупателям.</w:t>
      </w:r>
      <w:r w:rsidRPr="001A2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7" w:rsidRPr="001A2E63" w:rsidRDefault="000E0E67" w:rsidP="000E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хозяйствующими субъектами информации</w:t>
      </w:r>
      <w:r w:rsidR="002C1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оптовых п</w:t>
      </w:r>
      <w:r w:rsidRPr="001A2E63">
        <w:rPr>
          <w:rFonts w:ascii="Times New Roman" w:hAnsi="Times New Roman" w:cs="Times New Roman"/>
          <w:sz w:val="28"/>
          <w:szCs w:val="28"/>
        </w:rPr>
        <w:t xml:space="preserve">родаж </w:t>
      </w:r>
      <w:proofErr w:type="spellStart"/>
      <w:r w:rsidR="00D20325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D20325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D20325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D20325">
        <w:rPr>
          <w:rFonts w:ascii="Times New Roman" w:hAnsi="Times New Roman" w:cs="Times New Roman"/>
          <w:sz w:val="28"/>
          <w:szCs w:val="28"/>
        </w:rPr>
        <w:t>,</w:t>
      </w:r>
      <w:r w:rsidR="00D20325" w:rsidRPr="001A2E63">
        <w:rPr>
          <w:rFonts w:ascii="Times New Roman" w:hAnsi="Times New Roman" w:cs="Times New Roman"/>
          <w:sz w:val="28"/>
          <w:szCs w:val="28"/>
        </w:rPr>
        <w:t xml:space="preserve"> </w:t>
      </w:r>
      <w:r w:rsidR="00D20325"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стоимостном</w:t>
      </w:r>
      <w:r w:rsidR="00D20325"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выражении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25">
        <w:rPr>
          <w:rFonts w:ascii="Times New Roman" w:hAnsi="Times New Roman" w:cs="Times New Roman"/>
          <w:sz w:val="28"/>
          <w:szCs w:val="28"/>
        </w:rPr>
        <w:t>по </w:t>
      </w:r>
      <w:r w:rsidR="00D20325" w:rsidRPr="001A2E63">
        <w:rPr>
          <w:rFonts w:ascii="Times New Roman" w:hAnsi="Times New Roman" w:cs="Times New Roman"/>
          <w:sz w:val="28"/>
          <w:szCs w:val="28"/>
        </w:rPr>
        <w:t xml:space="preserve">РФ </w:t>
      </w:r>
      <w:r w:rsidR="00D20325">
        <w:rPr>
          <w:rFonts w:ascii="Times New Roman" w:hAnsi="Times New Roman" w:cs="Times New Roman"/>
          <w:sz w:val="28"/>
          <w:szCs w:val="28"/>
        </w:rPr>
        <w:t>составил</w:t>
      </w:r>
      <w:r w:rsidR="00D20325"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0E67" w:rsidRPr="001A2E63" w:rsidRDefault="00663878" w:rsidP="006638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0E0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– </w:t>
      </w:r>
      <w:r w:rsidR="00721EF1" w:rsidRPr="007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7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EF1" w:rsidRPr="007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067</w:t>
      </w:r>
      <w:r w:rsidR="007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EF1" w:rsidRPr="007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085,87</w:t>
      </w:r>
      <w:r w:rsidR="00721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тыс. </w:t>
      </w:r>
      <w:r w:rsidR="00A76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E0E67" w:rsidRPr="00492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0E0E67" w:rsidRPr="001A2E63" w:rsidRDefault="009D2637" w:rsidP="006638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663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E0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–</w:t>
      </w:r>
      <w:r w:rsidR="008E04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1EF1" w:rsidRPr="007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71</w:t>
      </w:r>
      <w:r w:rsidR="007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1EF1" w:rsidRPr="007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516</w:t>
      </w:r>
      <w:r w:rsidR="007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1EF1" w:rsidRPr="00721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995,56</w:t>
      </w:r>
      <w:r w:rsidR="008E0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тыс. </w:t>
      </w:r>
      <w:r w:rsidR="00A76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руб</w:t>
      </w:r>
      <w:r w:rsidR="000E0E67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0E67" w:rsidRPr="001A2E63" w:rsidRDefault="000E0E67" w:rsidP="000E0E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Pr="0001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оптовой реализации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8E0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увеличились</w:t>
      </w:r>
      <w:r w:rsidRPr="0001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Pr="0001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6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721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61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0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процентных пунктов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E0E67" w:rsidRDefault="000E0E67" w:rsidP="000E0E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долей хозяйствующих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на рынке производился в 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6.3 Порядка. </w:t>
      </w:r>
      <w:bookmarkStart w:id="1" w:name="_Toc388459823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определены доли хозяйствующих </w:t>
      </w:r>
      <w:r w:rsidRPr="001D2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 действующих на оптовом рынке, а также их принадлежность к группе лиц.</w:t>
      </w:r>
      <w:bookmarkEnd w:id="1"/>
      <w:r w:rsidRPr="001D2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712" w:rsidRDefault="000E0E67" w:rsidP="0067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1D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поставщиков на федеральный </w:t>
      </w:r>
      <w:r w:rsidRPr="001D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оптовый рынок</w:t>
      </w:r>
      <w:r w:rsidR="0046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исследуемый период 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461E15" w:rsidRPr="00B42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</w:t>
      </w:r>
      <w:r w:rsidR="00D20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E15" w:rsidRPr="00B42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5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1304FD" w:rsidRDefault="001304FD" w:rsidP="0067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61E15" w:rsidRPr="00461E15" w:rsidRDefault="00461E15" w:rsidP="00461E1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</w:t>
      </w:r>
      <w:r w:rsidR="00D20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1843"/>
        <w:gridCol w:w="1275"/>
        <w:gridCol w:w="1843"/>
        <w:gridCol w:w="1224"/>
        <w:gridCol w:w="1464"/>
      </w:tblGrid>
      <w:tr w:rsidR="008121E6" w:rsidTr="007265E8">
        <w:tc>
          <w:tcPr>
            <w:tcW w:w="2547" w:type="dxa"/>
            <w:shd w:val="clear" w:color="auto" w:fill="006666"/>
          </w:tcPr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006666"/>
          </w:tcPr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Объем выручки от продаж (</w:t>
            </w:r>
            <w:proofErr w:type="spellStart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тыс.руб</w:t>
            </w:r>
            <w:proofErr w:type="spellEnd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.)</w:t>
            </w: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2018</w:t>
            </w:r>
          </w:p>
        </w:tc>
        <w:tc>
          <w:tcPr>
            <w:tcW w:w="1275" w:type="dxa"/>
            <w:shd w:val="clear" w:color="auto" w:fill="006666"/>
          </w:tcPr>
          <w:p w:rsidR="00461E15" w:rsidRPr="007265E8" w:rsidRDefault="00461E15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Доля</w:t>
            </w: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2018</w:t>
            </w:r>
          </w:p>
        </w:tc>
        <w:tc>
          <w:tcPr>
            <w:tcW w:w="1843" w:type="dxa"/>
            <w:shd w:val="clear" w:color="auto" w:fill="006666"/>
          </w:tcPr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Объем выручки от продаж (</w:t>
            </w:r>
            <w:proofErr w:type="spellStart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тыс.руб</w:t>
            </w:r>
            <w:proofErr w:type="spellEnd"/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.)</w:t>
            </w: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2019</w:t>
            </w:r>
          </w:p>
        </w:tc>
        <w:tc>
          <w:tcPr>
            <w:tcW w:w="1224" w:type="dxa"/>
            <w:shd w:val="clear" w:color="auto" w:fill="006666"/>
          </w:tcPr>
          <w:p w:rsidR="00461E15" w:rsidRPr="007265E8" w:rsidRDefault="00461E15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Доля</w:t>
            </w: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2019</w:t>
            </w:r>
          </w:p>
        </w:tc>
        <w:tc>
          <w:tcPr>
            <w:tcW w:w="1464" w:type="dxa"/>
            <w:shd w:val="clear" w:color="auto" w:fill="006666"/>
          </w:tcPr>
          <w:p w:rsidR="00461E15" w:rsidRPr="007265E8" w:rsidRDefault="00461E15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</w:p>
          <w:p w:rsidR="00057D8B" w:rsidRPr="007265E8" w:rsidRDefault="00057D8B" w:rsidP="004634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ru-RU"/>
              </w:rPr>
              <w:t>2019 к 2018</w:t>
            </w:r>
          </w:p>
        </w:tc>
      </w:tr>
      <w:tr w:rsidR="008121E6" w:rsidTr="00461E15">
        <w:trPr>
          <w:trHeight w:val="832"/>
        </w:trPr>
        <w:tc>
          <w:tcPr>
            <w:tcW w:w="2547" w:type="dxa"/>
          </w:tcPr>
          <w:p w:rsidR="00461E15" w:rsidRPr="00461E15" w:rsidRDefault="00461E15" w:rsidP="00461E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8121E6" w:rsidRPr="00461E15" w:rsidRDefault="008121E6" w:rsidP="00461E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1E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АО «ТК «Мегаполис»</w:t>
            </w:r>
          </w:p>
        </w:tc>
        <w:tc>
          <w:tcPr>
            <w:tcW w:w="1843" w:type="dxa"/>
            <w:vAlign w:val="center"/>
          </w:tcPr>
          <w:p w:rsidR="008121E6" w:rsidRPr="00461E15" w:rsidRDefault="00BE23A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1275" w:type="dxa"/>
            <w:vAlign w:val="center"/>
          </w:tcPr>
          <w:p w:rsidR="008121E6" w:rsidRPr="00461E15" w:rsidRDefault="008121E6" w:rsidP="00721E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9</w:t>
            </w:r>
            <w:r w:rsidR="00721EF1">
              <w:rPr>
                <w:rFonts w:ascii="Times New Roman" w:hAnsi="Times New Roman" w:cs="Times New Roman"/>
                <w:color w:val="000000"/>
              </w:rPr>
              <w:t>7</w:t>
            </w:r>
            <w:r w:rsidRPr="00461E15">
              <w:rPr>
                <w:rFonts w:ascii="Times New Roman" w:hAnsi="Times New Roman" w:cs="Times New Roman"/>
                <w:color w:val="000000"/>
              </w:rPr>
              <w:t>,</w:t>
            </w:r>
            <w:r w:rsidR="00721EF1">
              <w:rPr>
                <w:rFonts w:ascii="Times New Roman" w:hAnsi="Times New Roman" w:cs="Times New Roman"/>
                <w:color w:val="000000"/>
              </w:rPr>
              <w:t>80</w:t>
            </w:r>
            <w:r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vAlign w:val="center"/>
          </w:tcPr>
          <w:p w:rsidR="008121E6" w:rsidRPr="00461E15" w:rsidRDefault="00BE23A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1224" w:type="dxa"/>
            <w:vAlign w:val="center"/>
          </w:tcPr>
          <w:p w:rsidR="008121E6" w:rsidRPr="00461E15" w:rsidRDefault="008121E6" w:rsidP="00721E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94,</w:t>
            </w:r>
            <w:r w:rsidR="00721EF1">
              <w:rPr>
                <w:rFonts w:ascii="Times New Roman" w:hAnsi="Times New Roman" w:cs="Times New Roman"/>
                <w:color w:val="000000"/>
              </w:rPr>
              <w:t>00</w:t>
            </w:r>
            <w:r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64" w:type="dxa"/>
          </w:tcPr>
          <w:p w:rsidR="00461E15" w:rsidRPr="0086180E" w:rsidRDefault="00461E15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8121E6" w:rsidRPr="0086180E" w:rsidRDefault="001812C9" w:rsidP="00181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-3</w:t>
            </w:r>
            <w:r w:rsidR="008121E6"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,</w:t>
            </w:r>
            <w:r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  <w:r w:rsidR="00E438E2"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  <w:r w:rsidR="008121E6" w:rsidRPr="008618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%</w:t>
            </w:r>
          </w:p>
        </w:tc>
      </w:tr>
      <w:tr w:rsidR="008121E6" w:rsidTr="00461E15">
        <w:trPr>
          <w:trHeight w:val="845"/>
        </w:trPr>
        <w:tc>
          <w:tcPr>
            <w:tcW w:w="2547" w:type="dxa"/>
          </w:tcPr>
          <w:p w:rsidR="00461E15" w:rsidRPr="00461E15" w:rsidRDefault="00461E15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8121E6" w:rsidRPr="00461E15" w:rsidRDefault="00D20325" w:rsidP="00D20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ГК </w:t>
            </w:r>
            <w:r w:rsidR="008121E6" w:rsidRPr="00461E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СНС</w:t>
            </w:r>
          </w:p>
        </w:tc>
        <w:tc>
          <w:tcPr>
            <w:tcW w:w="1843" w:type="dxa"/>
            <w:vAlign w:val="center"/>
          </w:tcPr>
          <w:p w:rsidR="008121E6" w:rsidRPr="00461E15" w:rsidRDefault="00BE23A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1275" w:type="dxa"/>
            <w:vAlign w:val="center"/>
          </w:tcPr>
          <w:p w:rsidR="008121E6" w:rsidRPr="00461E15" w:rsidRDefault="00721EF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1,16</w:t>
            </w:r>
            <w:r w:rsidR="008121E6"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vAlign w:val="center"/>
          </w:tcPr>
          <w:p w:rsidR="008121E6" w:rsidRPr="00461E15" w:rsidRDefault="00BE23A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1224" w:type="dxa"/>
            <w:vAlign w:val="center"/>
          </w:tcPr>
          <w:p w:rsidR="008121E6" w:rsidRPr="00461E15" w:rsidRDefault="00721EF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4,00</w:t>
            </w:r>
            <w:r w:rsidR="008121E6"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64" w:type="dxa"/>
          </w:tcPr>
          <w:p w:rsidR="00461E15" w:rsidRPr="0086180E" w:rsidRDefault="00461E15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  <w:p w:rsidR="008121E6" w:rsidRPr="0086180E" w:rsidRDefault="00E438E2" w:rsidP="00181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24</w:t>
            </w:r>
            <w:r w:rsidR="001812C9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4</w:t>
            </w: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,83</w:t>
            </w:r>
            <w:r w:rsidR="008121E6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%</w:t>
            </w:r>
          </w:p>
        </w:tc>
      </w:tr>
      <w:tr w:rsidR="008121E6" w:rsidTr="00461E15">
        <w:trPr>
          <w:trHeight w:val="700"/>
        </w:trPr>
        <w:tc>
          <w:tcPr>
            <w:tcW w:w="2547" w:type="dxa"/>
          </w:tcPr>
          <w:p w:rsidR="00461E15" w:rsidRPr="00461E15" w:rsidRDefault="00461E15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121E6" w:rsidRPr="00461E15" w:rsidRDefault="008121E6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61E15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proofErr w:type="spellStart"/>
            <w:r w:rsidRPr="00461E15">
              <w:rPr>
                <w:rFonts w:ascii="Times New Roman" w:eastAsia="Times New Roman" w:hAnsi="Times New Roman" w:cs="Times New Roman"/>
                <w:b/>
                <w:lang w:eastAsia="ru-RU"/>
              </w:rPr>
              <w:t>Интертрейд</w:t>
            </w:r>
            <w:proofErr w:type="spellEnd"/>
            <w:r w:rsidRPr="00461E15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8121E6" w:rsidRPr="00461E15" w:rsidRDefault="00BE23A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1275" w:type="dxa"/>
            <w:vAlign w:val="center"/>
          </w:tcPr>
          <w:p w:rsidR="008121E6" w:rsidRPr="00461E15" w:rsidRDefault="008121E6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0,11%</w:t>
            </w:r>
          </w:p>
        </w:tc>
        <w:tc>
          <w:tcPr>
            <w:tcW w:w="1843" w:type="dxa"/>
            <w:vAlign w:val="center"/>
          </w:tcPr>
          <w:p w:rsidR="007265E8" w:rsidRDefault="007265E8" w:rsidP="008E041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121E6" w:rsidRPr="00461E15" w:rsidRDefault="00BE23A1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#######</w:t>
            </w:r>
          </w:p>
        </w:tc>
        <w:tc>
          <w:tcPr>
            <w:tcW w:w="1224" w:type="dxa"/>
            <w:vAlign w:val="center"/>
          </w:tcPr>
          <w:p w:rsidR="008121E6" w:rsidRPr="00461E15" w:rsidRDefault="008121E6" w:rsidP="00721E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1,</w:t>
            </w:r>
            <w:r w:rsidR="008E0414" w:rsidRPr="00461E15">
              <w:rPr>
                <w:rFonts w:ascii="Times New Roman" w:hAnsi="Times New Roman" w:cs="Times New Roman"/>
                <w:color w:val="000000"/>
              </w:rPr>
              <w:t>4</w:t>
            </w:r>
            <w:r w:rsidR="00721EF1">
              <w:rPr>
                <w:rFonts w:ascii="Times New Roman" w:hAnsi="Times New Roman" w:cs="Times New Roman"/>
                <w:color w:val="000000"/>
              </w:rPr>
              <w:t>2</w:t>
            </w:r>
            <w:r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64" w:type="dxa"/>
          </w:tcPr>
          <w:p w:rsidR="00461E15" w:rsidRPr="0086180E" w:rsidRDefault="00461E15" w:rsidP="008E04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  <w:p w:rsidR="008121E6" w:rsidRPr="0086180E" w:rsidRDefault="008121E6" w:rsidP="00181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</w:t>
            </w:r>
            <w:r w:rsidR="00E438E2"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190,91</w:t>
            </w:r>
            <w:r w:rsidRPr="0086180E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%</w:t>
            </w:r>
          </w:p>
        </w:tc>
      </w:tr>
      <w:tr w:rsidR="00461E15" w:rsidTr="00461E15">
        <w:trPr>
          <w:trHeight w:val="825"/>
        </w:trPr>
        <w:tc>
          <w:tcPr>
            <w:tcW w:w="2547" w:type="dxa"/>
          </w:tcPr>
          <w:p w:rsidR="00461E15" w:rsidRPr="00461E15" w:rsidRDefault="00461E15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61E15" w:rsidRPr="00461E15" w:rsidRDefault="00461E15" w:rsidP="008121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E15">
              <w:rPr>
                <w:rFonts w:ascii="Times New Roman" w:eastAsia="Times New Roman" w:hAnsi="Times New Roman" w:cs="Times New Roman"/>
                <w:b/>
                <w:lang w:eastAsia="ru-RU"/>
              </w:rPr>
              <w:t>Иные импортеры</w:t>
            </w:r>
          </w:p>
        </w:tc>
        <w:tc>
          <w:tcPr>
            <w:tcW w:w="1843" w:type="dxa"/>
            <w:vAlign w:val="center"/>
          </w:tcPr>
          <w:p w:rsidR="00461E15" w:rsidRPr="00461E15" w:rsidRDefault="00461E15" w:rsidP="008121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vAlign w:val="center"/>
          </w:tcPr>
          <w:p w:rsidR="00461E15" w:rsidRPr="00461E15" w:rsidRDefault="00461E15" w:rsidP="008121E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1E15">
              <w:rPr>
                <w:rFonts w:ascii="Times New Roman" w:hAnsi="Times New Roman" w:cs="Times New Roman"/>
                <w:color w:val="000000"/>
                <w:lang w:val="en-US"/>
              </w:rPr>
              <w:t>&lt;1%</w:t>
            </w:r>
          </w:p>
        </w:tc>
        <w:tc>
          <w:tcPr>
            <w:tcW w:w="1843" w:type="dxa"/>
            <w:vAlign w:val="center"/>
          </w:tcPr>
          <w:p w:rsidR="00461E15" w:rsidRPr="00461E15" w:rsidRDefault="00461E15" w:rsidP="008E0414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61E15">
              <w:rPr>
                <w:rFonts w:ascii="Times New Roman" w:hAnsi="Times New Roman" w:cs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1224" w:type="dxa"/>
            <w:vAlign w:val="center"/>
          </w:tcPr>
          <w:p w:rsidR="00461E15" w:rsidRPr="00461E15" w:rsidRDefault="00461E15" w:rsidP="008E041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61E15">
              <w:rPr>
                <w:rFonts w:ascii="Times New Roman" w:hAnsi="Times New Roman" w:cs="Times New Roman"/>
                <w:color w:val="000000"/>
                <w:lang w:val="en-US"/>
              </w:rPr>
              <w:t>&lt;1%</w:t>
            </w:r>
          </w:p>
        </w:tc>
        <w:tc>
          <w:tcPr>
            <w:tcW w:w="1464" w:type="dxa"/>
          </w:tcPr>
          <w:p w:rsidR="00461E15" w:rsidRPr="0086180E" w:rsidRDefault="00461E15" w:rsidP="008E04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ru-RU"/>
              </w:rPr>
            </w:pPr>
          </w:p>
          <w:p w:rsidR="00461E15" w:rsidRPr="0086180E" w:rsidRDefault="00461E15" w:rsidP="008E04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50"/>
                <w:lang w:val="en-US" w:eastAsia="ru-RU"/>
              </w:rPr>
            </w:pPr>
            <w:r w:rsidRPr="0086180E">
              <w:rPr>
                <w:rFonts w:ascii="Times New Roman" w:eastAsia="Times New Roman" w:hAnsi="Times New Roman" w:cs="Times New Roman"/>
                <w:color w:val="00B050"/>
                <w:lang w:val="en-US" w:eastAsia="ru-RU"/>
              </w:rPr>
              <w:t>&lt;1%</w:t>
            </w:r>
          </w:p>
        </w:tc>
      </w:tr>
    </w:tbl>
    <w:p w:rsidR="00461E15" w:rsidRDefault="00461E15" w:rsidP="0081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1E15" w:rsidRPr="000259C3" w:rsidRDefault="00461E15" w:rsidP="00461E1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259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Иные импортеры – импортеры, реализующие </w:t>
      </w:r>
      <w:proofErr w:type="spellStart"/>
      <w:r w:rsidRPr="000259C3">
        <w:rPr>
          <w:rFonts w:ascii="Times New Roman" w:hAnsi="Times New Roman" w:cs="Times New Roman"/>
          <w:i/>
          <w:sz w:val="26"/>
          <w:szCs w:val="26"/>
        </w:rPr>
        <w:t>никотиносодержащую</w:t>
      </w:r>
      <w:proofErr w:type="spellEnd"/>
      <w:r w:rsidRPr="000259C3">
        <w:rPr>
          <w:rFonts w:ascii="Times New Roman" w:hAnsi="Times New Roman" w:cs="Times New Roman"/>
          <w:i/>
          <w:sz w:val="26"/>
          <w:szCs w:val="26"/>
        </w:rPr>
        <w:t xml:space="preserve"> продукцию и </w:t>
      </w:r>
      <w:r w:rsidR="00396AF6">
        <w:rPr>
          <w:rFonts w:ascii="Times New Roman" w:hAnsi="Times New Roman" w:cs="Times New Roman"/>
          <w:i/>
          <w:sz w:val="26"/>
          <w:szCs w:val="26"/>
        </w:rPr>
        <w:t>СДН</w:t>
      </w:r>
      <w:r w:rsidRPr="000259C3">
        <w:rPr>
          <w:rFonts w:ascii="Times New Roman" w:hAnsi="Times New Roman" w:cs="Times New Roman"/>
          <w:i/>
          <w:sz w:val="26"/>
          <w:szCs w:val="26"/>
        </w:rPr>
        <w:t xml:space="preserve">, предназначенные для потребления никотина способами, отличными от курения табака, </w:t>
      </w:r>
      <w:r w:rsidRPr="000259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через свои отделы продаж и/или дополнительное оптовое звено, остальные компании-импортеры -  через свои отделы продаж и/или дополнительное оптовое звено, имеют долю на рынке менее 1 %.</w:t>
      </w:r>
    </w:p>
    <w:p w:rsidR="00461E15" w:rsidRDefault="00461E15" w:rsidP="0081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1E6" w:rsidRPr="001A2E63" w:rsidRDefault="008121E6" w:rsidP="00812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хозяйствующего субъекта на товарном рынке рассчитывается как выраженное в процентах отношение показателя, характеризующего</w:t>
      </w:r>
      <w:r w:rsidR="009D2637">
        <w:rPr>
          <w:rFonts w:ascii="Times New Roman" w:hAnsi="Times New Roman" w:cs="Times New Roman"/>
          <w:sz w:val="28"/>
          <w:szCs w:val="28"/>
        </w:rPr>
        <w:t xml:space="preserve"> выручку от</w:t>
      </w:r>
      <w:r w:rsidR="009D2637" w:rsidRPr="001A2E63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="009D2637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D2637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9D2637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9D2637">
        <w:rPr>
          <w:rFonts w:ascii="Times New Roman" w:hAnsi="Times New Roman" w:cs="Times New Roman"/>
          <w:sz w:val="28"/>
          <w:szCs w:val="28"/>
        </w:rPr>
        <w:t xml:space="preserve">,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поставляем</w:t>
      </w:r>
      <w:r w:rsidR="000D7E0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хозяйствующим субъектом на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товарный рынок, к показателю, характеризующему объем рассматриваемого товарного рынка. Доля хозяйствующего субъекта на товарном рынке определяется применительно к установленному временному интервалу, к продуктовым границам и к географическим границам рассматриваемого товарного рынка, а также к составу хозяйствующих субъектов, действующих на товарном рынке.</w:t>
      </w:r>
    </w:p>
    <w:p w:rsidR="008121E6" w:rsidRPr="00B71867" w:rsidRDefault="008121E6" w:rsidP="008121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расчетов установлено, что на федеральном оптовом рынке </w:t>
      </w:r>
      <w:proofErr w:type="spellStart"/>
      <w:r w:rsidR="00872112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872112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872112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872112"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872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B7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 «ТК Мегаполис» занимает доминирующее положение, доля в 201</w:t>
      </w:r>
      <w:r w:rsidR="0087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7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 w:rsidRPr="00B7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составляет </w:t>
      </w:r>
      <w:r w:rsidR="00872112" w:rsidRPr="007A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7A2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872112"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872112"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A5463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872112"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4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F5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B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 АО «ТК Мегаполис» является</w:t>
      </w:r>
      <w:r w:rsidRPr="00B7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отдельным хозяйствующим субъектом</w:t>
      </w:r>
      <w:r w:rsidRPr="00B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занимающим на исследуемом рынке </w:t>
      </w:r>
      <w:r w:rsidRPr="00B7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доминирующее положение</w:t>
      </w:r>
      <w:r w:rsidRPr="00B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1E6" w:rsidRPr="00872112" w:rsidRDefault="008121E6" w:rsidP="007C3A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112">
        <w:rPr>
          <w:rFonts w:ascii="Times New Roman" w:hAnsi="Times New Roman" w:cs="Times New Roman"/>
          <w:b/>
          <w:sz w:val="28"/>
          <w:szCs w:val="28"/>
        </w:rPr>
        <w:t xml:space="preserve">Иных хозяйствующих субъектов, </w:t>
      </w:r>
      <w:r w:rsidRPr="0087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имеющих долю на рынке более чем тридцать пять процентов, не установлено.</w:t>
      </w:r>
    </w:p>
    <w:p w:rsidR="0080148C" w:rsidRDefault="0080148C" w:rsidP="007C3A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07" w:rsidRDefault="00627507" w:rsidP="007C3A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254D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2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86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уровня концентрации товарных рынков</w:t>
      </w:r>
    </w:p>
    <w:p w:rsidR="00627507" w:rsidRDefault="00627507" w:rsidP="007C3A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52C" w:rsidRPr="00FF652C" w:rsidRDefault="00FF652C" w:rsidP="007C3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VII Порядка для определения уровня концентрации товарного рынка используются следующие показатели:</w:t>
      </w:r>
    </w:p>
    <w:p w:rsidR="00FF652C" w:rsidRPr="00FF652C" w:rsidRDefault="00FF652C" w:rsidP="00FF652C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рыночной концентрации (</w:t>
      </w:r>
      <w:proofErr w:type="spellStart"/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>CRn</w:t>
      </w:r>
      <w:proofErr w:type="spellEnd"/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>) - сумма долей на товарном рынке (выраженных в процентах) определенного числа (n) крупнейших хозяйствующих субъектов, действ</w:t>
      </w:r>
      <w:r w:rsidR="00396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овавших</w:t>
      </w:r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товарном рынке.</w:t>
      </w:r>
    </w:p>
    <w:p w:rsidR="00FF652C" w:rsidRPr="00FF652C" w:rsidRDefault="00FF652C" w:rsidP="00FF652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рыночной концентрации </w:t>
      </w:r>
      <w:proofErr w:type="spellStart"/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Герфиндаля-Гиршмана</w:t>
      </w:r>
      <w:proofErr w:type="spellEnd"/>
      <w:r w:rsidRPr="00F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(HHI) - сумма квадратов долей (выраженных в процентах) на товарном рынке всех хозяйствующих субъектов, действующих на данном рынке.</w:t>
      </w:r>
    </w:p>
    <w:p w:rsidR="00244BF7" w:rsidRDefault="00244BF7" w:rsidP="000F04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7507" w:rsidRDefault="00627507" w:rsidP="000F04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Крупнооптовый рынок </w:t>
      </w:r>
    </w:p>
    <w:p w:rsidR="00627507" w:rsidRDefault="00627507" w:rsidP="007265E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ФАС России, крупно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оптовый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48C" w:rsidRPr="0080148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80148C" w:rsidRPr="0080148C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80148C" w:rsidRPr="0080148C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исследуемый период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высококонцентрированным (согласно п 7.2 Порядка)</w:t>
      </w:r>
      <w:r w:rsidR="00801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9C3" w:rsidRDefault="000259C3" w:rsidP="007265E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F57" w:rsidRDefault="007A2F57" w:rsidP="007A2F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6666"/>
          <w:sz w:val="28"/>
          <w:szCs w:val="28"/>
        </w:rPr>
      </w:pPr>
      <w:r w:rsidRPr="007265E8">
        <w:rPr>
          <w:rFonts w:ascii="Times New Roman" w:eastAsia="Times New Roman" w:hAnsi="Times New Roman" w:cs="Times New Roman"/>
          <w:b/>
          <w:i/>
          <w:color w:val="006666"/>
          <w:sz w:val="28"/>
          <w:szCs w:val="28"/>
          <w:lang w:eastAsia="ru-RU"/>
        </w:rPr>
        <w:t xml:space="preserve">Концентрация поставщиков </w:t>
      </w:r>
      <w:proofErr w:type="spellStart"/>
      <w:r w:rsidRPr="007265E8">
        <w:rPr>
          <w:rFonts w:ascii="Times New Roman" w:hAnsi="Times New Roman" w:cs="Times New Roman"/>
          <w:b/>
          <w:i/>
          <w:color w:val="006666"/>
          <w:sz w:val="28"/>
          <w:szCs w:val="28"/>
        </w:rPr>
        <w:t>никотиносодержащей</w:t>
      </w:r>
      <w:proofErr w:type="spellEnd"/>
      <w:r w:rsidRPr="007265E8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b/>
          <w:i/>
          <w:color w:val="006666"/>
          <w:sz w:val="28"/>
          <w:szCs w:val="28"/>
        </w:rPr>
        <w:t>СДН</w:t>
      </w:r>
      <w:r w:rsidRPr="007265E8">
        <w:rPr>
          <w:rFonts w:ascii="Times New Roman" w:hAnsi="Times New Roman" w:cs="Times New Roman"/>
          <w:b/>
          <w:i/>
          <w:color w:val="006666"/>
          <w:sz w:val="28"/>
          <w:szCs w:val="28"/>
        </w:rPr>
        <w:t>, предназначенных для потребления никотина способами, отличными от курения табака, на крупнооптовый рынок РФ</w:t>
      </w:r>
    </w:p>
    <w:p w:rsidR="007A2F57" w:rsidRPr="007A2F57" w:rsidRDefault="007A2F57" w:rsidP="007A2F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0099CC"/>
          <w:sz w:val="28"/>
          <w:szCs w:val="28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EC2A87" w:rsidTr="007265E8"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EC2A87" w:rsidRDefault="00EC2A87" w:rsidP="000F0479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2A87" w:rsidRPr="007E5F63" w:rsidRDefault="00EC2A87" w:rsidP="00EC2A8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Доля 2018</w:t>
            </w:r>
          </w:p>
        </w:tc>
        <w:tc>
          <w:tcPr>
            <w:tcW w:w="33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EC2A87" w:rsidRPr="007E5F63" w:rsidRDefault="00EC2A87" w:rsidP="00EC2A8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Доля 2019</w:t>
            </w:r>
          </w:p>
        </w:tc>
      </w:tr>
      <w:tr w:rsidR="00EC2A87" w:rsidTr="007265E8">
        <w:tc>
          <w:tcPr>
            <w:tcW w:w="339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C2A87" w:rsidRPr="00474FAC" w:rsidRDefault="00EC2A87" w:rsidP="00EC2A8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74F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PMI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2A87" w:rsidRPr="002C15F5" w:rsidRDefault="007E5F63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96,63%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EC2A87" w:rsidRPr="002C15F5" w:rsidRDefault="007E5F63" w:rsidP="001812C9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90,7</w:t>
            </w:r>
            <w:r w:rsidR="001812C9"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</w:tr>
      <w:tr w:rsidR="00EC2A87" w:rsidTr="007265E8">
        <w:tc>
          <w:tcPr>
            <w:tcW w:w="339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C2A87" w:rsidRPr="00474FAC" w:rsidRDefault="00EC2A87" w:rsidP="00EC2A8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BAT </w:t>
            </w:r>
            <w:proofErr w:type="spellStart"/>
            <w:r w:rsidRPr="0047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p.l.c</w:t>
            </w:r>
            <w:proofErr w:type="spellEnd"/>
            <w:r w:rsidRPr="00474F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2A87" w:rsidRPr="002C15F5" w:rsidRDefault="007E5F63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1,94%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EC2A87" w:rsidRPr="002C15F5" w:rsidRDefault="007E5F63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5,48%</w:t>
            </w:r>
          </w:p>
        </w:tc>
      </w:tr>
      <w:tr w:rsidR="00EC2A87" w:rsidTr="007265E8">
        <w:tc>
          <w:tcPr>
            <w:tcW w:w="339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C2A87" w:rsidRPr="00474FAC" w:rsidRDefault="00EC2A87" w:rsidP="00EC2A8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FA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IB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C2A87" w:rsidRPr="002C15F5" w:rsidRDefault="007E5F63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0,32%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EC2A87" w:rsidRPr="002C15F5" w:rsidRDefault="007E5F63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hAnsi="Times New Roman" w:cs="Times New Roman"/>
                <w:sz w:val="26"/>
                <w:szCs w:val="26"/>
              </w:rPr>
              <w:t>1,26%</w:t>
            </w:r>
          </w:p>
        </w:tc>
      </w:tr>
      <w:tr w:rsidR="00EC2A87" w:rsidTr="007265E8">
        <w:tc>
          <w:tcPr>
            <w:tcW w:w="339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EC2A87" w:rsidRPr="007265E8" w:rsidRDefault="00EC2A87" w:rsidP="00EC2A87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val="en-US" w:eastAsia="ru-RU"/>
              </w:rPr>
              <w:t>CR3 (</w:t>
            </w: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доля топ-3 поставщиков)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C2A87" w:rsidRPr="002C15F5" w:rsidRDefault="007E5F63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98,89%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EC2A87" w:rsidRPr="002C15F5" w:rsidRDefault="001812C9" w:rsidP="007E5F63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</w:pPr>
            <w:r w:rsidRPr="002C15F5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97,53</w:t>
            </w:r>
            <w:r w:rsidR="007E5F63" w:rsidRPr="002C15F5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%</w:t>
            </w:r>
          </w:p>
        </w:tc>
      </w:tr>
    </w:tbl>
    <w:p w:rsidR="006E236A" w:rsidRDefault="006E236A" w:rsidP="000F04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9C3" w:rsidRDefault="000259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07" w:rsidRDefault="00627507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соответствии с Порядком, был рассчитан индекс рыночной концентрации </w:t>
      </w:r>
      <w:proofErr w:type="spellStart"/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Герфиндаля-Гиршмана</w:t>
      </w:r>
      <w:proofErr w:type="spellEnd"/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(HHI) для рынка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оптовой реализации </w:t>
      </w:r>
      <w:proofErr w:type="spellStart"/>
      <w:r w:rsidR="009823DA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823DA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="009823DA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</w:t>
      </w:r>
      <w:proofErr w:type="spell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Герфиндаля</w:t>
      </w:r>
      <w:proofErr w:type="spell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Гиршмана</w:t>
      </w:r>
      <w:proofErr w:type="spell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оценки степени монополизации отрасли, вычисляется как сумма квадратов долей продаж каждой компании в отрасли: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HHI = S</w:t>
      </w:r>
      <w:r w:rsidRPr="00D35D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35D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</w:t>
      </w:r>
      <w:r w:rsidRPr="00D35D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35D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... + S</w:t>
      </w:r>
      <w:r w:rsidRPr="00D35D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35D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</w:p>
    <w:p w:rsidR="00B6374E" w:rsidRPr="00591DB2" w:rsidRDefault="00B6374E" w:rsidP="00B6374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наших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</w:t>
      </w:r>
      <w:r w:rsidRPr="0059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74E" w:rsidRPr="00591DB2" w:rsidRDefault="00B6374E" w:rsidP="00B6374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HHI = 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0,50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6E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341,7033</w:t>
      </w:r>
    </w:p>
    <w:p w:rsidR="00B6374E" w:rsidRDefault="00B6374E" w:rsidP="00B63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gram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HHI &gt;</w:t>
      </w:r>
      <w:proofErr w:type="gram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то это подтверждает, что концентрация</w:t>
      </w:r>
      <w:r w:rsidR="006E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исследуемом рынке высокая. </w:t>
      </w:r>
    </w:p>
    <w:p w:rsidR="000259C3" w:rsidRDefault="000259C3" w:rsidP="00B63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07" w:rsidRPr="00591DB2" w:rsidRDefault="00627507" w:rsidP="000F047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наших данных</w:t>
      </w:r>
      <w:r w:rsidR="00B63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  <w:r w:rsidRPr="0059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7507" w:rsidRPr="00591DB2" w:rsidRDefault="00627507" w:rsidP="00D609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HHI = 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E5F63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5F63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+ 5,</w:t>
      </w:r>
      <w:r w:rsidR="007E5F63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+ 1,</w:t>
      </w:r>
      <w:r w:rsidR="00474FAC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474FAC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+ 1,04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+ 0,</w:t>
      </w:r>
      <w:r w:rsidR="00474FAC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="00474FAC"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0,26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Pr="00474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</w:t>
      </w:r>
      <w:r w:rsidR="00BB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8 276,4749</w:t>
      </w:r>
    </w:p>
    <w:p w:rsidR="0080148C" w:rsidRDefault="00627507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gram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HHI &gt;</w:t>
      </w:r>
      <w:proofErr w:type="gram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то это подтверждает, что концентрация</w:t>
      </w:r>
      <w:r w:rsidR="006E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исследуемом рынке высокая. </w:t>
      </w:r>
    </w:p>
    <w:p w:rsidR="000259C3" w:rsidRDefault="000259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6A" w:rsidRDefault="006E236A" w:rsidP="006E236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</w:t>
      </w:r>
      <w:r w:rsidRPr="006A2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птовый рынок</w:t>
      </w:r>
    </w:p>
    <w:p w:rsidR="000259C3" w:rsidRDefault="006E236A" w:rsidP="0042140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ФАС России, оптовый рынок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48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0148C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sz w:val="28"/>
          <w:szCs w:val="28"/>
        </w:rPr>
        <w:t>СДН</w:t>
      </w:r>
      <w:r w:rsidRPr="0080148C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исследуемый период времени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являлся высококонцентрированным (согласно п 7.2 Порядка)</w:t>
      </w:r>
      <w:r w:rsidR="007B2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9C3" w:rsidRDefault="000259C3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FAC" w:rsidRPr="007265E8" w:rsidRDefault="00474FAC" w:rsidP="00474F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i/>
          <w:color w:val="006666"/>
          <w:sz w:val="28"/>
          <w:szCs w:val="28"/>
        </w:rPr>
      </w:pPr>
      <w:r w:rsidRPr="007265E8">
        <w:rPr>
          <w:rFonts w:ascii="Times New Roman" w:eastAsia="Times New Roman" w:hAnsi="Times New Roman" w:cs="Times New Roman"/>
          <w:b/>
          <w:i/>
          <w:color w:val="006666"/>
          <w:sz w:val="28"/>
          <w:szCs w:val="28"/>
          <w:lang w:eastAsia="ru-RU"/>
        </w:rPr>
        <w:t xml:space="preserve">Концентрация поставщиков </w:t>
      </w:r>
      <w:proofErr w:type="spellStart"/>
      <w:r w:rsidRPr="007265E8">
        <w:rPr>
          <w:rFonts w:ascii="Times New Roman" w:hAnsi="Times New Roman" w:cs="Times New Roman"/>
          <w:b/>
          <w:i/>
          <w:color w:val="006666"/>
          <w:sz w:val="28"/>
          <w:szCs w:val="28"/>
        </w:rPr>
        <w:t>никотиносодержащей</w:t>
      </w:r>
      <w:proofErr w:type="spellEnd"/>
      <w:r w:rsidRPr="007265E8">
        <w:rPr>
          <w:rFonts w:ascii="Times New Roman" w:hAnsi="Times New Roman" w:cs="Times New Roman"/>
          <w:b/>
          <w:i/>
          <w:color w:val="006666"/>
          <w:sz w:val="28"/>
          <w:szCs w:val="28"/>
        </w:rPr>
        <w:t xml:space="preserve"> продукции и </w:t>
      </w:r>
      <w:r w:rsidR="00396AF6">
        <w:rPr>
          <w:rFonts w:ascii="Times New Roman" w:hAnsi="Times New Roman" w:cs="Times New Roman"/>
          <w:b/>
          <w:i/>
          <w:color w:val="006666"/>
          <w:sz w:val="28"/>
          <w:szCs w:val="28"/>
        </w:rPr>
        <w:t>СДН</w:t>
      </w:r>
      <w:r w:rsidRPr="007265E8">
        <w:rPr>
          <w:rFonts w:ascii="Times New Roman" w:hAnsi="Times New Roman" w:cs="Times New Roman"/>
          <w:b/>
          <w:i/>
          <w:color w:val="006666"/>
          <w:sz w:val="28"/>
          <w:szCs w:val="28"/>
        </w:rPr>
        <w:t>, предназначенных для потребления никотина способами, отличными от курения табака, на оптовый рынок РФ</w:t>
      </w:r>
    </w:p>
    <w:p w:rsidR="00474FAC" w:rsidRPr="007A2F57" w:rsidRDefault="00474FAC" w:rsidP="00474FA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/>
          <w:color w:val="0099CC"/>
          <w:sz w:val="28"/>
          <w:szCs w:val="28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474FAC" w:rsidTr="007265E8"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74FAC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4FAC" w:rsidRPr="007E5F63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Доля 2018</w:t>
            </w:r>
          </w:p>
        </w:tc>
        <w:tc>
          <w:tcPr>
            <w:tcW w:w="33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74FAC" w:rsidRPr="007E5F63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5F6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Доля 2019</w:t>
            </w:r>
          </w:p>
        </w:tc>
      </w:tr>
      <w:tr w:rsidR="00474FAC" w:rsidTr="007265E8">
        <w:tc>
          <w:tcPr>
            <w:tcW w:w="339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74FAC" w:rsidRPr="00474FAC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Мегаполис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4FAC" w:rsidRPr="00474FAC" w:rsidRDefault="00474FAC" w:rsidP="00BB4FF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9</w:t>
            </w:r>
            <w:r w:rsidR="00BB4FF0">
              <w:rPr>
                <w:rFonts w:ascii="Times New Roman" w:hAnsi="Times New Roman" w:cs="Times New Roman"/>
                <w:color w:val="000000"/>
              </w:rPr>
              <w:t>7</w:t>
            </w:r>
            <w:r w:rsidRPr="00461E15">
              <w:rPr>
                <w:rFonts w:ascii="Times New Roman" w:hAnsi="Times New Roman" w:cs="Times New Roman"/>
                <w:color w:val="000000"/>
              </w:rPr>
              <w:t>,</w:t>
            </w:r>
            <w:r w:rsidR="00BB4FF0">
              <w:rPr>
                <w:rFonts w:ascii="Times New Roman" w:hAnsi="Times New Roman" w:cs="Times New Roman"/>
                <w:color w:val="000000"/>
              </w:rPr>
              <w:t>80</w:t>
            </w:r>
            <w:r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74FAC" w:rsidRPr="00474FAC" w:rsidRDefault="000C54AC" w:rsidP="000C54A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94,00</w:t>
            </w:r>
            <w:r w:rsidR="00474FAC"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265E8" w:rsidTr="007265E8">
        <w:tc>
          <w:tcPr>
            <w:tcW w:w="339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74FAC" w:rsidRPr="00474FAC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СНС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4FAC" w:rsidRPr="00474FAC" w:rsidRDefault="00474FAC" w:rsidP="00BB4FF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1,1</w:t>
            </w:r>
            <w:r w:rsidR="00BB4FF0">
              <w:rPr>
                <w:rFonts w:ascii="Times New Roman" w:hAnsi="Times New Roman" w:cs="Times New Roman"/>
                <w:color w:val="000000"/>
              </w:rPr>
              <w:t>6</w:t>
            </w:r>
            <w:r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74FAC" w:rsidRPr="00474FAC" w:rsidRDefault="000C54AC" w:rsidP="000C54A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4,00</w:t>
            </w:r>
            <w:r w:rsidR="00474FAC"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265E8" w:rsidTr="007265E8">
        <w:tc>
          <w:tcPr>
            <w:tcW w:w="3398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474FAC" w:rsidRPr="00474FAC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Интертрейд</w:t>
            </w:r>
            <w:proofErr w:type="spellEnd"/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4FAC" w:rsidRPr="00474FAC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E15">
              <w:rPr>
                <w:rFonts w:ascii="Times New Roman" w:hAnsi="Times New Roman" w:cs="Times New Roman"/>
                <w:color w:val="000000"/>
              </w:rPr>
              <w:t>0,11%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474FAC" w:rsidRPr="00474FAC" w:rsidRDefault="000C54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1,42</w:t>
            </w:r>
            <w:r w:rsidR="00474FAC" w:rsidRPr="00461E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74FAC" w:rsidTr="007265E8">
        <w:tc>
          <w:tcPr>
            <w:tcW w:w="3398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</w:tcPr>
          <w:p w:rsidR="00474FAC" w:rsidRPr="007265E8" w:rsidRDefault="00474FAC" w:rsidP="00675544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val="en-US" w:eastAsia="ru-RU"/>
              </w:rPr>
              <w:t>CR3 (</w:t>
            </w: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доля топ-3 поставщиков)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4FAC" w:rsidRPr="007265E8" w:rsidRDefault="00474FAC" w:rsidP="00BB4FF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</w:pP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9</w:t>
            </w:r>
            <w:r w:rsidR="00AA78BE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9</w:t>
            </w: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,</w:t>
            </w:r>
            <w:r w:rsidR="00BB4FF0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07</w:t>
            </w:r>
            <w:r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99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474FAC" w:rsidRPr="007265E8" w:rsidRDefault="000C54AC" w:rsidP="000C54AC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99,42</w:t>
            </w:r>
            <w:r w:rsidR="00474FAC" w:rsidRPr="007265E8">
              <w:rPr>
                <w:rFonts w:ascii="Times New Roman" w:eastAsia="Times New Roman" w:hAnsi="Times New Roman" w:cs="Times New Roman"/>
                <w:color w:val="006666"/>
                <w:sz w:val="26"/>
                <w:szCs w:val="26"/>
                <w:lang w:eastAsia="ru-RU"/>
              </w:rPr>
              <w:t>%</w:t>
            </w:r>
          </w:p>
        </w:tc>
      </w:tr>
    </w:tbl>
    <w:p w:rsidR="006016BE" w:rsidRDefault="006016BE" w:rsidP="006E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36A" w:rsidRDefault="006E236A" w:rsidP="006E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 рассчитан индекс рыночной концентрации </w:t>
      </w:r>
      <w:proofErr w:type="spellStart"/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Герфиндаля-Гиршмана</w:t>
      </w:r>
      <w:proofErr w:type="spellEnd"/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(HHI) для рынка оптовой реализации </w:t>
      </w:r>
      <w:proofErr w:type="spellStart"/>
      <w:r w:rsidR="007B2A0F" w:rsidRPr="0080148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7B2A0F" w:rsidRPr="0080148C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7B2A0F" w:rsidRPr="0080148C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</w:t>
      </w:r>
      <w:r w:rsidR="007B2A0F">
        <w:rPr>
          <w:rFonts w:ascii="Times New Roman" w:hAnsi="Times New Roman" w:cs="Times New Roman"/>
          <w:sz w:val="28"/>
          <w:szCs w:val="28"/>
        </w:rPr>
        <w:t>ми, отличными от курения табака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11FF" w:rsidRPr="005021E2" w:rsidRDefault="006E11FF" w:rsidP="006E1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наших данных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2018 год</w:t>
      </w:r>
      <w:r w:rsidRPr="0050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11FF" w:rsidRPr="006E236A" w:rsidRDefault="006E11FF" w:rsidP="006E1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HHI = 97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1,16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+ 0,11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+ 0,10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</w:t>
      </w:r>
      <w:r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9 566,8161</w:t>
      </w:r>
    </w:p>
    <w:p w:rsidR="006E11FF" w:rsidRDefault="006E11FF" w:rsidP="006E1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gram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HHI &gt;</w:t>
      </w:r>
      <w:proofErr w:type="gram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то это подтверждает, что концентрация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исследуемом рынке высокая. </w:t>
      </w:r>
    </w:p>
    <w:p w:rsidR="000259C3" w:rsidRDefault="000259C3" w:rsidP="006E1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6A" w:rsidRPr="005021E2" w:rsidRDefault="006E236A" w:rsidP="006E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наших данных</w:t>
      </w:r>
      <w:r w:rsidR="006E1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</w:t>
      </w:r>
      <w:r w:rsidRPr="00502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2A0F" w:rsidRPr="006E236A" w:rsidRDefault="006E236A" w:rsidP="006E2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HHI = 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</w:t>
      </w:r>
      <w:r w:rsidR="000C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+ 4,0</w:t>
      </w:r>
      <w:r w:rsidR="000C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+ 1,</w:t>
      </w:r>
      <w:r w:rsidR="007265E8"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C5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2 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+ 0,31</w:t>
      </w:r>
      <w:r w:rsidR="002A5463"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+ 0,16</w:t>
      </w:r>
      <w:r w:rsidR="002A5463" w:rsidRPr="00AA78B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2A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</w:t>
      </w:r>
      <w:r w:rsidR="007B2A0F" w:rsidRPr="00AA7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8 854,1381</w:t>
      </w:r>
    </w:p>
    <w:p w:rsidR="002C15F5" w:rsidRDefault="002F77D9" w:rsidP="002F7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gramStart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>HHI &gt;</w:t>
      </w:r>
      <w:proofErr w:type="gramEnd"/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2000, то это также подтверждает, что концентрация</w:t>
      </w:r>
      <w:r w:rsidR="00AA1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за 2019 год</w:t>
      </w:r>
      <w:r w:rsidRPr="001A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исследуемом рынке высокая. </w:t>
      </w:r>
    </w:p>
    <w:p w:rsidR="002F77D9" w:rsidRDefault="002F77D9" w:rsidP="002F7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Повышенная степень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концентрации 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 и как следствие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A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слаборазвитая конкурентная среда.</w:t>
      </w:r>
      <w:r w:rsidRPr="00FD3DAC">
        <w:t xml:space="preserve"> </w:t>
      </w:r>
      <w:r w:rsidRPr="00FD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высокая концентрация на рынке может иметь и ряд положительных аспектов, как, например, установление прозрачных правил для игроков на рынке, а также содействие борьбе с нелегальной торговлей продукцией</w:t>
      </w:r>
      <w:r w:rsidR="002C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особенно важным ввиду недостаточности государственного регулирования в рассматриваемый период времени.</w:t>
      </w:r>
    </w:p>
    <w:p w:rsidR="002C15F5" w:rsidRDefault="002C15F5" w:rsidP="00726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A0F" w:rsidRPr="001A2E63" w:rsidRDefault="007B2A0F" w:rsidP="007C3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за </w:t>
      </w:r>
      <w:r w:rsidR="002C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исследуемы 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</w:t>
      </w:r>
      <w:r w:rsidR="002C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C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рассматриваемых рынках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</w:t>
      </w:r>
      <w:proofErr w:type="spellStart"/>
      <w:r w:rsidRPr="0080148C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80148C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80148C">
        <w:rPr>
          <w:rFonts w:ascii="Times New Roman" w:hAnsi="Times New Roman" w:cs="Times New Roman"/>
          <w:sz w:val="28"/>
          <w:szCs w:val="28"/>
        </w:rPr>
        <w:t xml:space="preserve">, предназначенных для </w:t>
      </w:r>
      <w:r w:rsidRPr="0080148C">
        <w:rPr>
          <w:rFonts w:ascii="Times New Roman" w:hAnsi="Times New Roman" w:cs="Times New Roman"/>
          <w:sz w:val="28"/>
          <w:szCs w:val="28"/>
        </w:rPr>
        <w:lastRenderedPageBreak/>
        <w:t>потребления никотина способа</w:t>
      </w:r>
      <w:r>
        <w:rPr>
          <w:rFonts w:ascii="Times New Roman" w:hAnsi="Times New Roman" w:cs="Times New Roman"/>
          <w:sz w:val="28"/>
          <w:szCs w:val="28"/>
        </w:rPr>
        <w:t>ми, отличными от курения табака,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устойчиво-высокий уровень концентрации на фоне одновременного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</w:t>
      </w:r>
      <w:r w:rsidRPr="001A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поставщиков и объемов поставок на рынок.</w:t>
      </w:r>
    </w:p>
    <w:p w:rsidR="007B2A0F" w:rsidRPr="001A2E63" w:rsidRDefault="007B2A0F" w:rsidP="007C3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07" w:rsidRPr="00627507" w:rsidRDefault="00547A0F" w:rsidP="007C3AF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_Toc38845982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I</w:t>
      </w:r>
      <w:r w:rsidR="00254D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X</w:t>
      </w:r>
      <w:r w:rsidR="00627507" w:rsidRPr="00627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Определение барьеров входа на рынок</w:t>
      </w:r>
      <w:bookmarkEnd w:id="2"/>
    </w:p>
    <w:p w:rsidR="00627507" w:rsidRPr="00627507" w:rsidRDefault="00627507" w:rsidP="007C3A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40A6" w:rsidRDefault="009B40A6" w:rsidP="009B40A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в исследовании использовалась исключительно информация, полученная от хозяйствующих субъектов, осуществляющих свою деятельность в рамках правового поля. ФАС России не располагает сведениями о представителях теневого сектора, а также об объеме поступившей на территорию страны нелегальной продукции, </w:t>
      </w:r>
      <w:r w:rsidR="003E7E4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</w:t>
      </w: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учитывать в данном исследовании объем данной продукции</w:t>
      </w:r>
      <w:r w:rsidR="003E7E42"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</w:t>
      </w:r>
      <w:r w:rsidRPr="003E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148" w:rsidRDefault="002C15F5" w:rsidP="007C3AF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о</w:t>
      </w:r>
      <w:r w:rsidR="00627507" w:rsidRP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сновным барьер</w:t>
      </w:r>
      <w:r w:rsidR="007A43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627507" w:rsidRP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 входа на </w:t>
      </w:r>
      <w:r w:rsidR="00627507" w:rsidRPr="006275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крупнооптовый</w:t>
      </w:r>
      <w:r w:rsidR="00627507" w:rsidRP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823DA" w:rsidRPr="007222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федеральный </w:t>
      </w:r>
      <w:r w:rsidR="00627507" w:rsidRPr="007222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рынок</w:t>
      </w:r>
      <w:r w:rsidR="00627507" w:rsidRPr="009823D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627507" w:rsidRP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помимо высокой степени концентрации, следует от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нести</w:t>
      </w:r>
      <w:r w:rsidR="00627507" w:rsidRP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закрепление на договорной основе конкретных поставщиков с конкретными крупнооптовыми покупателями, на протяжении </w:t>
      </w:r>
      <w:r w:rsid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всего рассматриваемого</w:t>
      </w:r>
      <w:r w:rsidR="00627507" w:rsidRPr="0062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периода времени.</w:t>
      </w:r>
    </w:p>
    <w:p w:rsidR="00627507" w:rsidRPr="00627507" w:rsidRDefault="002C15F5" w:rsidP="00D111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к</w:t>
      </w:r>
      <w:r w:rsidR="00627507"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барьерам входа на </w:t>
      </w:r>
      <w:r w:rsidR="00675544" w:rsidRPr="006755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крупнооптовый федеральный рынок</w:t>
      </w:r>
      <w:r w:rsidR="00627507"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новых предприятий-производителей </w:t>
      </w:r>
      <w:proofErr w:type="spellStart"/>
      <w:r w:rsidR="00B85E63"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B85E63"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B85E63"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627507"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прочего, </w:t>
      </w:r>
      <w:r w:rsidR="00627507"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относится:</w:t>
      </w:r>
    </w:p>
    <w:p w:rsidR="00627507" w:rsidRPr="00627507" w:rsidRDefault="00627507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осуществления значительных первоначальных капитальных вложений при длительных сроках окупаемости этих вложений;</w:t>
      </w:r>
    </w:p>
    <w:p w:rsidR="00627507" w:rsidRPr="00627507" w:rsidRDefault="00627507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издержки выхода с рынка, включающие инвестиции, которые практически невозможно возместить при прекращении хозяйственной деятельности;</w:t>
      </w:r>
    </w:p>
    <w:p w:rsidR="00627507" w:rsidRPr="00627507" w:rsidRDefault="00627507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экономически оправданного минимального объема производства, обуславливающего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производства).</w:t>
      </w:r>
    </w:p>
    <w:p w:rsidR="00627507" w:rsidRDefault="00627507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Значительным фактором, сдерживающим вхождение хозяйствующих субъектов на рассматриваемый рынок новых небольших предприятий, является наличие высоких инвестиционных рисков.</w:t>
      </w:r>
    </w:p>
    <w:p w:rsidR="00B80261" w:rsidRDefault="00B80261" w:rsidP="000F0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необходимым элементом вхождения на крупнооптовый федеральный рынок является поиск/приобретение либо разработка инновационных высокотехнологичных продуктов.</w:t>
      </w:r>
    </w:p>
    <w:p w:rsidR="00675544" w:rsidRPr="00675544" w:rsidRDefault="00675544" w:rsidP="0067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барьерами входа новых хозяйствующих субъектов на </w:t>
      </w:r>
      <w:r w:rsidRPr="00675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оптовый</w:t>
      </w:r>
      <w:r w:rsidRPr="0067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являются:</w:t>
      </w:r>
    </w:p>
    <w:p w:rsidR="00675544" w:rsidRPr="00675544" w:rsidRDefault="00675544" w:rsidP="006755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75544">
        <w:rPr>
          <w:rFonts w:ascii="Times New Roman" w:hAnsi="Times New Roman"/>
          <w:color w:val="000000"/>
          <w:sz w:val="28"/>
          <w:szCs w:val="28"/>
        </w:rPr>
        <w:t>Высокий уровень концентрации.</w:t>
      </w:r>
    </w:p>
    <w:p w:rsidR="00675544" w:rsidRPr="00675544" w:rsidRDefault="00675544" w:rsidP="0067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оценке ФАС России за 2018-2019 год, два поставщика на федеральный оптовый рынок </w:t>
      </w:r>
      <w:proofErr w:type="spellStart"/>
      <w:r w:rsidRPr="0067554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675544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табака,</w:t>
      </w: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(ГК «Мегаполис» и ГК «СНС») занимают </w:t>
      </w:r>
      <w:r w:rsidR="007A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713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рынка.</w:t>
      </w:r>
    </w:p>
    <w:p w:rsidR="00675544" w:rsidRDefault="00675544" w:rsidP="00675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политика в сфере </w:t>
      </w:r>
      <w:r w:rsidRPr="006755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охраны здоровья граждан от воздействия окружающего табачного дыма, последствий потребления табака или потребления никотинсодержащей продукции</w:t>
      </w: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(рост ставки акцизов, запрет рекламы, ограничения </w:t>
      </w:r>
      <w:r w:rsidRPr="00675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размещению продукции при розничной реализации и т.д.) – эти меры уменьшают рентабельность и сбытовые возможности новых игроков, ограничивая их возможности продвигать продукцию на рынок.</w:t>
      </w:r>
    </w:p>
    <w:p w:rsidR="00FA7164" w:rsidRDefault="00627507" w:rsidP="00FA7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факторы делают рынок </w:t>
      </w:r>
      <w:proofErr w:type="spellStart"/>
      <w:r w:rsidR="00B85E63" w:rsidRPr="009C28F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B85E63" w:rsidRPr="009C28FD">
        <w:rPr>
          <w:rFonts w:ascii="Times New Roman" w:hAnsi="Times New Roman" w:cs="Times New Roman"/>
          <w:sz w:val="28"/>
          <w:szCs w:val="28"/>
        </w:rPr>
        <w:t xml:space="preserve"> продукции и устройств, предназначенных для потребления никотина способами, отличными от курения табака,</w:t>
      </w:r>
      <w:r w:rsidRPr="009C2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малопривлекательным для новых участников.</w:t>
      </w:r>
    </w:p>
    <w:p w:rsidR="003F3A66" w:rsidRPr="00627507" w:rsidRDefault="003F3A66" w:rsidP="00FA7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5E63" w:rsidRDefault="00D40F04" w:rsidP="007C3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</w:t>
      </w:r>
      <w:r w:rsidR="00B85E63" w:rsidRPr="001A2E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Оценка состояния конкуренции на товарном рынке</w:t>
      </w:r>
    </w:p>
    <w:p w:rsidR="00B85E63" w:rsidRDefault="00B85E63" w:rsidP="007C3A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E63" w:rsidRPr="001A2E63" w:rsidRDefault="00B85E63" w:rsidP="007C3A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A2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основании проведенного исследования ФАС России приходит к выводу, что за иследуемый период рын</w:t>
      </w:r>
      <w:r w:rsidR="00B80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</w:t>
      </w:r>
      <w:r w:rsidRPr="001A2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оптовой реализации </w:t>
      </w:r>
      <w:proofErr w:type="spellStart"/>
      <w:r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B80261">
        <w:rPr>
          <w:rFonts w:ascii="Times New Roman" w:hAnsi="Times New Roman" w:cs="Times New Roman"/>
          <w:sz w:val="28"/>
          <w:szCs w:val="28"/>
        </w:rPr>
        <w:t>,</w:t>
      </w:r>
      <w:r w:rsidRPr="001A2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</w:t>
      </w:r>
      <w:r w:rsidR="00B80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тся</w:t>
      </w:r>
      <w:r w:rsidRPr="001A2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рынк</w:t>
      </w:r>
      <w:r w:rsidR="00B80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ами</w:t>
      </w:r>
      <w:r w:rsidRPr="001A2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недостаточно развитой конкуренцией с устойчиво-высоким уровнем концентрации.</w:t>
      </w:r>
    </w:p>
    <w:p w:rsidR="00B85E63" w:rsidRPr="002567BA" w:rsidRDefault="00B85E63" w:rsidP="000F0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Сложная и многоступенчатая дистрибуция с ограниченным кругом хозяйствующих субъектов (за счет долго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срочных договоров дистрибуции с </w:t>
      </w: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единственным покупателем), которая закреплена и неизменна на рынке продолжительное время, является </w:t>
      </w:r>
      <w:r w:rsidR="00FC0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специфическим </w:t>
      </w: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аспекто</w:t>
      </w:r>
      <w:r w:rsidR="00FC1F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</w:t>
      </w: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отрасли. </w:t>
      </w:r>
    </w:p>
    <w:p w:rsidR="00B85E63" w:rsidRPr="002567BA" w:rsidRDefault="00B80261" w:rsidP="000F0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E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 w:rsidR="00B85E63" w:rsidRPr="003E7E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акое построение дистрибуции допустимо, </w:t>
      </w:r>
      <w:r w:rsidR="00BD301E" w:rsidRPr="003E7E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потому, что ограниченное колличество хозяйствующих субъектов позволяет контролирующим органам и участникам рынка эффективнее отслеживать товарные потоки и пресекать поступление на рынок нелегальной продукции. Такая модель дистрибуции может быть характерна для рынков, на которых необходимых отслеживать товаропотоки продукции по всей территории Российской Федерации в связи со специальным государственным регулированием цен, существенным потенциалом роста объемов нелегальной продукции, логистическими сложностями и иными причинами.</w:t>
      </w:r>
    </w:p>
    <w:p w:rsidR="00B85E63" w:rsidRPr="002567BA" w:rsidRDefault="00B85E63" w:rsidP="000F0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ФАС России считает целесообразным рекомендовать хозяйствующим субъектам, занимающим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значительные доли на рынк</w:t>
      </w:r>
      <w:r w:rsidR="00E83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Pr="00A22FDF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A22FDF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A22FDF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разработать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согласовать с </w:t>
      </w: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антимонопольным органом коммерческие политики (торговые практики), устанавливающие перечень прозрачных недискриминационных критериев, которыми будет руководствоваться хозяйствующий субъект при определении контрагента и условий сотрудничества с ним. </w:t>
      </w:r>
    </w:p>
    <w:p w:rsidR="00FC0B9F" w:rsidRDefault="00B85E63" w:rsidP="000F0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67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Прозрачность взаимодействия с контрагентами будет свидетельствовать об открытости хозяйствующего субъекта, снизит риски нарушения антимонопольного законодательства, предотвратит наступление административной ответственности за такие нарушения.</w:t>
      </w:r>
      <w:r w:rsidRPr="00C80AD2">
        <w:t xml:space="preserve"> </w:t>
      </w:r>
      <w:r w:rsidRPr="00C80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2DF2" w:rsidRDefault="00552DF2" w:rsidP="000F04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условиях современной экономики целесообразно рассмотреть возможность внедрения такого метода контроля, как  антимонопольный комплаенс.</w:t>
      </w:r>
      <w:r w:rsidRPr="00C80AD2">
        <w:t xml:space="preserve"> </w:t>
      </w:r>
      <w:r w:rsidRPr="00C80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ФАС России на постоянной основе проводит консультирование хозяйствующих субъектов по вопросам организации и построения комплаенса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80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одного из основных направлений снижения рисков нарушения антимонопольного законодательства.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83A1A" w:rsidRDefault="00E83A1A" w:rsidP="00E8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83A1A" w:rsidRDefault="003E1823" w:rsidP="00E8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E18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Проблемы развития конкуренции.</w:t>
      </w:r>
    </w:p>
    <w:p w:rsidR="00B85E63" w:rsidRPr="00C7500D" w:rsidRDefault="00E83A1A" w:rsidP="00E8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Несовершенство рынка </w:t>
      </w:r>
      <w:proofErr w:type="spellStart"/>
      <w:r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а также его развития во многом связано с отсутствием единого регулятора, которое является причиной недостаточной согласованности в нормотворческой и правоприменительной практике различных государственных органов, наделенных отдельными полномочиями в регулировании и надзоре над различным</w:t>
      </w:r>
      <w:r w:rsid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аспектами деятельности отрасли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В результате отсутствует комплексный долгосрочный подход к развитию отрасли, который учитывал бы, с одной стороны, специфику производимой продукции и безусловный приоритет охраны общественного здоровья, а с другой – налоговый, инвестиционный и инновационный потенциал отрасли.</w:t>
      </w:r>
    </w:p>
    <w:p w:rsidR="00E83A1A" w:rsidRDefault="00E83A1A" w:rsidP="00E8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0E70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рассматриваемый период времени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отсутств</w:t>
      </w:r>
      <w:r w:rsidR="000E70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овал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нормативный правовой акт, регулирующий производство/оборот рассматриваемой продукции</w:t>
      </w:r>
      <w:r w:rsid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Н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екоторые положения </w:t>
      </w:r>
      <w:r w:rsidR="009C28FD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Федеральн</w:t>
      </w:r>
      <w:r w:rsidR="009C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C28FD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закон</w:t>
      </w:r>
      <w:r w:rsidR="009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C28FD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от 23.02.2013 </w:t>
      </w:r>
      <w:r w:rsidR="009C28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8FD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15-ФЗ</w:t>
      </w:r>
      <w:r w:rsidR="000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8FD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(ред. от 31.07.2020)</w:t>
      </w:r>
      <w:r w:rsidR="000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28FD" w:rsidRPr="00C56CA5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</w:r>
      <w:r w:rsidR="009C28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</w:t>
      </w:r>
      <w:r w:rsidR="009C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затрагивают сферу регулирования оборота </w:t>
      </w:r>
      <w:proofErr w:type="spellStart"/>
      <w:r w:rsidR="004A2949"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4A2949"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4A2949"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4A2949"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но в условиях современной российской экономики данное регулирование не является достаточным и полным.</w:t>
      </w:r>
    </w:p>
    <w:p w:rsidR="00C7500D" w:rsidRDefault="00C7500D" w:rsidP="00C75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Как указано выше, одной из проблем, влияющей на условия конкуренции на рынке</w:t>
      </w:r>
      <w:r w:rsidR="009C28FD" w:rsidRP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 w:rsidR="009C28FD" w:rsidRPr="009C28F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C28FD" w:rsidRPr="009C28F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9C28FD" w:rsidRPr="009C28F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является отсутствие единой фискальной политики, включая </w:t>
      </w:r>
      <w:r w:rsidR="009C28FD" w:rsidRP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отсутствие регулирования об</w:t>
      </w:r>
      <w:r w:rsidR="00601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9C28FD" w:rsidRP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рота указанной продукции </w:t>
      </w:r>
      <w:r w:rsidRPr="009C28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рамках ЕАЭС. </w:t>
      </w:r>
    </w:p>
    <w:p w:rsidR="00C7500D" w:rsidRPr="00C7500D" w:rsidRDefault="00C7500D" w:rsidP="00C750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роме того, к</w:t>
      </w: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административным барьерам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можно</w:t>
      </w: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отнести</w:t>
      </w: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0E701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нормативно правовые акты</w:t>
      </w: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, предусматривающие полный запрет на оборот </w:t>
      </w:r>
      <w:proofErr w:type="spellStart"/>
      <w:r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принимаемые вразрез с федеральным законодательством отдельными субъектами </w:t>
      </w:r>
      <w:r w:rsidR="000E701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РФ</w:t>
      </w:r>
      <w:r w:rsidRPr="00C7500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. </w:t>
      </w:r>
    </w:p>
    <w:p w:rsidR="00C7500D" w:rsidRDefault="00C7500D" w:rsidP="00884FD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84FD3">
        <w:rPr>
          <w:rFonts w:ascii="Times New Roman" w:hAnsi="Times New Roman" w:cs="Times New Roman"/>
          <w:bCs/>
          <w:sz w:val="28"/>
          <w:szCs w:val="28"/>
        </w:rPr>
        <w:t xml:space="preserve">К другим проблемам 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развития конкуренции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помимо 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прочего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6016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можно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</w:t>
      </w:r>
      <w:r w:rsidR="00FA22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нести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долгосрочные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договорн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ые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отношения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конкретных 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хозяйствующих субъектов, имеющих значительную рыночную силу,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протяжении всего </w:t>
      </w:r>
      <w:r w:rsidR="009C28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рассматриваемого периода времени</w:t>
      </w:r>
      <w:r w:rsidR="00884FD3" w:rsidRPr="00884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259C3" w:rsidRDefault="000259C3" w:rsidP="00884FD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F3BA1" w:rsidRPr="006113BE" w:rsidRDefault="00BF3BA1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Предложения по развитию конкуренции.</w:t>
      </w:r>
    </w:p>
    <w:p w:rsidR="00BF3BA1" w:rsidRPr="006113BE" w:rsidRDefault="00BF3BA1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развития конкуренции на рынке </w:t>
      </w:r>
      <w:proofErr w:type="spellStart"/>
      <w:r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совершенствования регулирования и контроля 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всей отрасли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ФАС </w:t>
      </w:r>
      <w:r w:rsidRPr="00374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России считает необходимым 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разработать проект плана ме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роприятий («дорожной карты») по 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совершенствованию регулирования и развитию конкуренции на рынке </w:t>
      </w:r>
      <w:proofErr w:type="spellStart"/>
      <w:r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(далее — «дорожная карта»). ФАС 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России выражает готовность в рамках работы Экспертного совета предоставить 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постоянно действующую площадку для разработ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ки «дорожной карты» совместно с 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заинтересованными 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рганами исполнительной власти и 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бизнес-сообществом.</w:t>
      </w:r>
    </w:p>
    <w:p w:rsidR="00BF3BA1" w:rsidRDefault="00BF3BA1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Одним из основных пунктов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«дорожной</w:t>
      </w:r>
      <w:r w:rsidRPr="00374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374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антимонопольный орган видит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полномочного федерального органа исполнительной власти, которы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 будет наделен полномочиями по 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выработке государственной политики в 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рассматриваемой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отрасли, а также органа по 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контролю и надзору в 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указанной 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отрасли, с включением в его компетенцию всех вопросов, связанных с регулированием деятельности по производству и обороту </w:t>
      </w:r>
      <w:proofErr w:type="spellStart"/>
      <w:r w:rsidR="002C1BEC"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C1BEC"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2C1BEC"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2C1BEC"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 также перспективы приведения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отраслевого законодательства в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соответствие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современным состоянием ры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нков и государственных задач по контролю за </w:t>
      </w:r>
      <w:r w:rsidRPr="000809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оборотом и реализацией продукции.</w:t>
      </w:r>
    </w:p>
    <w:p w:rsidR="0024119C" w:rsidRPr="006E7F35" w:rsidRDefault="0024119C" w:rsidP="008D4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ФАС России отмечает</w:t>
      </w:r>
      <w:r w:rsidR="008742DD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необходимость проведени</w:t>
      </w:r>
      <w:r w:rsidR="008742DD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FD5286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соответствующих научных </w:t>
      </w:r>
      <w:r w:rsidR="00831B05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независимых </w:t>
      </w:r>
      <w:r w:rsidR="00FD5286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исследований, 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обосновывающих</w:t>
      </w:r>
      <w:r w:rsidR="00601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4A70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подтверждающих </w:t>
      </w:r>
      <w:r w:rsidR="00FD5286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заявленные представителями отрасли </w:t>
      </w:r>
      <w:r w:rsidR="006A0C70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отличия воздействия на здоровье граждан инновационной никотиносодержащей продукции </w:t>
      </w:r>
      <w:r w:rsidR="007A4A70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сравнению с </w:t>
      </w:r>
      <w:r w:rsidR="008D4E9D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4A70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классическими</w:t>
      </w:r>
      <w:r w:rsidR="00A35CC1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A4A70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табачными изделиями</w:t>
      </w:r>
      <w:r w:rsidR="008D4E9D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831B05" w:rsidRPr="006A0C70" w:rsidRDefault="00831B05" w:rsidP="00F66A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целях</w:t>
      </w:r>
      <w:r w:rsidR="00F66A4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проведения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6A4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всестороннего исследования воздействия инновационной никотиносодержащей продукции на здоровье граждан, а также сбора необходимых результатов</w:t>
      </w:r>
      <w:r w:rsidR="006016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6A4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подтверждающих</w:t>
      </w:r>
      <w:r w:rsidR="003F683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/опровергающих</w:t>
      </w:r>
      <w:r w:rsidR="00F66A4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отличия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 мнению антимонопольного органа, </w:t>
      </w:r>
      <w:r w:rsidR="00AD1BA2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необходимо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рассмотреть возможность проведени</w:t>
      </w:r>
      <w:r w:rsidR="00F66A4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683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аналогичных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66A4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независимых 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исследований </w:t>
      </w:r>
      <w:r w:rsidR="003F683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территории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государств – член</w:t>
      </w:r>
      <w:r w:rsidR="003F683B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ов</w:t>
      </w:r>
      <w:r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ЕАЭС</w:t>
      </w:r>
      <w:r w:rsidR="0060688E" w:rsidRPr="006E7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CD0D49" w:rsidRPr="00BE23A1" w:rsidRDefault="007A4A70" w:rsidP="00833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Необходимо разработать ряд мер, повышающих </w:t>
      </w:r>
      <w:r w:rsidR="008F6D27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="0083333B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заинтересованность</w:t>
      </w:r>
      <w:r w:rsidR="00CD0D49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организаций</w:t>
      </w:r>
      <w:r w:rsidR="0083333B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-</w:t>
      </w:r>
      <w:r w:rsidR="00CD0D49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</w:t>
      </w:r>
      <w:r w:rsidR="0083333B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оизводите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лей рассматриваемой продукции </w:t>
      </w:r>
      <w:r w:rsidR="0083333B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на т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ерритории Российской Федерации в </w:t>
      </w:r>
      <w:r w:rsidR="0083333B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реализации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ее </w:t>
      </w:r>
      <w:r w:rsidR="0083333B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преимущественно на экспорт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="008F2DA9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В этом случае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повышение акцизных сборов от увеличения выпуска такой продукции </w:t>
      </w:r>
      <w:r w:rsidR="008F2DA9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практически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не будет сопровождаться </w:t>
      </w:r>
      <w:r w:rsidR="008F6D27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одновременным</w:t>
      </w:r>
      <w:r w:rsidR="00FD5286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увеличением</w:t>
      </w:r>
      <w:r w:rsidR="008F6D27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объема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потребления указанной продукции на т</w:t>
      </w:r>
      <w:r w:rsidR="00BE23A1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ерритории Российской Федерации </w:t>
      </w:r>
      <w:r w:rsidR="008F2DA9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и 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не будет противоречить задачам, предусмотренным Концепцией </w:t>
      </w:r>
      <w:r w:rsidR="00D6217F"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осуществления государственной политики противодействия потреблению табака и иной никотиносодержащей продукции в Российской Федерации на период до 2035 года и дальнейшую перспективу</w:t>
      </w:r>
      <w:r w:rsidRPr="00BE23A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BF3BA1" w:rsidRDefault="00BF3BA1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целях качественного изменения ситуации с нелегальным поступлением </w:t>
      </w:r>
      <w:proofErr w:type="spellStart"/>
      <w:r w:rsidR="002C1BEC"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C1BEC"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2C1BEC"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2C1BEC"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территорию Российской Федерации и поддержки добросовестной конкуренции необходимо разра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ботать специальные требования в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отношении отслеживания движения и дистрибуции </w:t>
      </w:r>
      <w:proofErr w:type="spellStart"/>
      <w:r w:rsidR="002C1BEC"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C1BEC"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2C1BEC"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="002C1BEC"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 пересечении государственной границы Россий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ской Федерации в рамках ЕАЭС, а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также требования специальной маркировки в целях пресечения незаконной торговли 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указанной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продукцией. По мнению антимонопольного органа</w:t>
      </w:r>
      <w:r w:rsidR="007A4A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целесообразно рассмотреть возможность заключения соглашения о единых правилах оборота 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рассматриваемой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продукции на территории государств – членов ЕАЭС.</w:t>
      </w:r>
    </w:p>
    <w:p w:rsidR="00C944FC" w:rsidRDefault="00C944FC" w:rsidP="00BF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Кроме того, ФАС России считает необходимым присвоить отдельные коды </w:t>
      </w:r>
      <w:r w:rsidR="00025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 ВЭД </w:t>
      </w:r>
      <w:proofErr w:type="spellStart"/>
      <w:r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C750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возможности отслеживания движения указанной продукции в рамках таможенного контроля, а также код ОК ВЭД для хозяйствующих субъектов, осуществляющих деятельность на оптовом рынке </w:t>
      </w:r>
      <w:proofErr w:type="spellStart"/>
      <w:r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>
        <w:rPr>
          <w:rFonts w:ascii="Times New Roman" w:hAnsi="Times New Roman" w:cs="Times New Roman"/>
          <w:sz w:val="28"/>
          <w:szCs w:val="28"/>
        </w:rPr>
        <w:t>, для наиболее эффективного государственного регулирования.</w:t>
      </w:r>
    </w:p>
    <w:p w:rsidR="00BF3BA1" w:rsidRDefault="00BF3BA1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Возможно дополнительно изучить вопрос целевого использования акцизных поступлений для реализации проектов профилактики табакокурения</w:t>
      </w:r>
      <w:r w:rsidR="002C1B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или потребления никотиносодержащей продукции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развития инфраструктуры досуга и спорта, пропаганды здорового образа жизни. </w:t>
      </w:r>
    </w:p>
    <w:p w:rsidR="008F44DC" w:rsidRDefault="008F44DC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40B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рамках своей компетенции  антимонопольный орган будет уделять особое внимание вопросам недопущения возможности злоупотребления участниками рынка своей рыночной властью, а также недопущения недобросовестной конкуренции, в том числе путем введения потребителей в заблуждение относительно качественных характеристик товара.</w:t>
      </w:r>
    </w:p>
    <w:p w:rsidR="007D4BCF" w:rsidRPr="006113BE" w:rsidRDefault="007D4BCF" w:rsidP="007D4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7E42">
        <w:rPr>
          <w:rFonts w:ascii="Times New Roman" w:hAnsi="Times New Roman" w:cs="Times New Roman"/>
          <w:sz w:val="28"/>
          <w:szCs w:val="28"/>
        </w:rPr>
        <w:t xml:space="preserve">По мнению ФАС России, системный подход к регулированию </w:t>
      </w:r>
      <w:proofErr w:type="spellStart"/>
      <w:r w:rsidRPr="003E7E42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3E7E42">
        <w:rPr>
          <w:rFonts w:ascii="Times New Roman" w:hAnsi="Times New Roman" w:cs="Times New Roman"/>
          <w:sz w:val="28"/>
          <w:szCs w:val="28"/>
        </w:rPr>
        <w:t xml:space="preserve"> продукции и СДН будет также способствовать улучшению конкурентной среды на смежных рынках, в первую очередь за счет создания условий по развитию малых и средних предприятий розничной торговли, степень зависимости которых от оборота табачной и </w:t>
      </w:r>
      <w:proofErr w:type="spellStart"/>
      <w:r w:rsidRPr="003E7E42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Pr="003E7E42">
        <w:rPr>
          <w:rFonts w:ascii="Times New Roman" w:hAnsi="Times New Roman" w:cs="Times New Roman"/>
          <w:sz w:val="28"/>
          <w:szCs w:val="28"/>
        </w:rPr>
        <w:t xml:space="preserve"> продукции значительно выше, чем у крупной сетевой розницы. Данный подход положительно скаж</w:t>
      </w:r>
      <w:r w:rsidR="003E7E42" w:rsidRPr="003E7E42">
        <w:rPr>
          <w:rFonts w:ascii="Times New Roman" w:hAnsi="Times New Roman" w:cs="Times New Roman"/>
          <w:sz w:val="28"/>
          <w:szCs w:val="28"/>
        </w:rPr>
        <w:t>ется на малом розничном бизнесе</w:t>
      </w:r>
      <w:r w:rsidRPr="003E7E42">
        <w:rPr>
          <w:rFonts w:ascii="Times New Roman" w:hAnsi="Times New Roman" w:cs="Times New Roman"/>
          <w:sz w:val="28"/>
          <w:szCs w:val="28"/>
        </w:rPr>
        <w:t xml:space="preserve"> в части формирования устойчивой рентабельности МСП, обеспечения занятости и увеличения налоговой базы хозяйствующих субъектов.</w:t>
      </w:r>
    </w:p>
    <w:p w:rsidR="00BF3BA1" w:rsidRDefault="00BF3BA1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Эти меры будут способствовать развитию добросовестной конкуренции на рынке </w:t>
      </w:r>
      <w:proofErr w:type="spellStart"/>
      <w:r w:rsidR="002C1BEC" w:rsidRPr="00C7500D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2C1BEC" w:rsidRPr="00C7500D">
        <w:rPr>
          <w:rFonts w:ascii="Times New Roman" w:hAnsi="Times New Roman" w:cs="Times New Roman"/>
          <w:sz w:val="28"/>
          <w:szCs w:val="28"/>
        </w:rPr>
        <w:t xml:space="preserve"> продукции и </w:t>
      </w:r>
      <w:r w:rsidR="006016BE">
        <w:rPr>
          <w:rFonts w:ascii="Times New Roman" w:hAnsi="Times New Roman" w:cs="Times New Roman"/>
          <w:sz w:val="28"/>
          <w:szCs w:val="28"/>
        </w:rPr>
        <w:t>СДН</w:t>
      </w:r>
      <w:r w:rsidR="002C1BEC" w:rsidRPr="00C7500D">
        <w:rPr>
          <w:rFonts w:ascii="Times New Roman" w:hAnsi="Times New Roman" w:cs="Times New Roman"/>
          <w:sz w:val="28"/>
          <w:szCs w:val="28"/>
        </w:rPr>
        <w:t>, предназначенных для потребления никотина способами, отличными от курения табака</w:t>
      </w:r>
      <w:r w:rsidRPr="006113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будут гарантией развития смежных рынков, а также создадут новые возможности для социально значимых проектов.</w:t>
      </w:r>
    </w:p>
    <w:p w:rsidR="00D6217F" w:rsidRPr="006113BE" w:rsidRDefault="00D6217F" w:rsidP="00BF3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C36" w:rsidRDefault="00533C36" w:rsidP="00E83A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0B9F" w:rsidRDefault="00FC0B9F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Управления                                                                              В.Б. Мишеловин</w:t>
      </w: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7E42" w:rsidRPr="003E7E42" w:rsidRDefault="003E7E42" w:rsidP="00FC0B9F">
      <w:p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3E7E4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Исп. Шелдаев Дмитрий Владимирович</w:t>
      </w:r>
      <w:r w:rsidR="00241FCA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bookmarkStart w:id="3" w:name="_GoBack"/>
      <w:bookmarkEnd w:id="3"/>
    </w:p>
    <w:sectPr w:rsidR="003E7E42" w:rsidRPr="003E7E42" w:rsidSect="00241FC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B4" w:rsidRDefault="009375B4" w:rsidP="000B0AA7">
      <w:pPr>
        <w:spacing w:after="0" w:line="240" w:lineRule="auto"/>
      </w:pPr>
      <w:r>
        <w:separator/>
      </w:r>
    </w:p>
  </w:endnote>
  <w:endnote w:type="continuationSeparator" w:id="0">
    <w:p w:rsidR="009375B4" w:rsidRDefault="009375B4" w:rsidP="000B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B4" w:rsidRDefault="009375B4" w:rsidP="000B0AA7">
      <w:pPr>
        <w:spacing w:after="0" w:line="240" w:lineRule="auto"/>
      </w:pPr>
      <w:r>
        <w:separator/>
      </w:r>
    </w:p>
  </w:footnote>
  <w:footnote w:type="continuationSeparator" w:id="0">
    <w:p w:rsidR="009375B4" w:rsidRDefault="009375B4" w:rsidP="000B0AA7">
      <w:pPr>
        <w:spacing w:after="0" w:line="240" w:lineRule="auto"/>
      </w:pPr>
      <w:r>
        <w:continuationSeparator/>
      </w:r>
    </w:p>
  </w:footnote>
  <w:footnote w:id="1">
    <w:p w:rsidR="006016BE" w:rsidRPr="00465FE9" w:rsidRDefault="006016BE" w:rsidP="00A70A59">
      <w:pPr>
        <w:pStyle w:val="FootnoteText"/>
        <w:jc w:val="both"/>
        <w:rPr>
          <w:rFonts w:ascii="Times New Roman" w:hAnsi="Times New Roman" w:cs="Times New Roman"/>
          <w:sz w:val="21"/>
          <w:szCs w:val="21"/>
        </w:rPr>
      </w:pPr>
      <w:r w:rsidRPr="00465FE9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465FE9">
        <w:rPr>
          <w:rStyle w:val="FootnoteReference"/>
          <w:rFonts w:ascii="Times New Roman" w:hAnsi="Times New Roman" w:cs="Times New Roman"/>
          <w:sz w:val="21"/>
          <w:szCs w:val="21"/>
        </w:rPr>
        <w:t xml:space="preserve"> Табак нагреваемый - изделие, состоящее из табачного сырья с добавлением или без добавления ингредиентов, предназначенное для потребления исключительно с устройством для нагревания путем вдыхания табачного пара, образующегося при его нагревании без горения и тления.</w:t>
      </w:r>
    </w:p>
  </w:footnote>
  <w:footnote w:id="2">
    <w:p w:rsidR="006016BE" w:rsidRPr="00465FE9" w:rsidRDefault="006016BE" w:rsidP="00A70A59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465FE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465FE9">
        <w:rPr>
          <w:rFonts w:ascii="Times New Roman" w:hAnsi="Times New Roman" w:cs="Times New Roman"/>
          <w:sz w:val="16"/>
          <w:szCs w:val="16"/>
        </w:rPr>
        <w:t xml:space="preserve">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никотина, посредством нагревания данной жидкости и перевода ее в парообразное состояние.</w:t>
      </w:r>
    </w:p>
  </w:footnote>
  <w:footnote w:id="3">
    <w:p w:rsidR="006016BE" w:rsidRDefault="006016BE" w:rsidP="000B0A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075D">
        <w:rPr>
          <w:rFonts w:ascii="Times New Roman" w:hAnsi="Times New Roman"/>
        </w:rPr>
        <w:t xml:space="preserve">Информация о ценах размещена на официальных сайтах официальных сайтах производителей и дистрибьютеров </w:t>
      </w:r>
      <w:r>
        <w:rPr>
          <w:rFonts w:ascii="Times New Roman" w:hAnsi="Times New Roman"/>
        </w:rPr>
        <w:t>продукции.</w:t>
      </w:r>
    </w:p>
  </w:footnote>
  <w:footnote w:id="4">
    <w:p w:rsidR="006016BE" w:rsidRDefault="006016BE" w:rsidP="005F6FAC">
      <w:pPr>
        <w:pStyle w:val="FootnoteText"/>
      </w:pPr>
      <w:r>
        <w:rPr>
          <w:rStyle w:val="FootnoteReference"/>
        </w:rPr>
        <w:footnoteRef/>
      </w:r>
      <w:r>
        <w:t xml:space="preserve"> Вертикальная интеграция - производственное и организационное объединение, слияние, кооперация, взаимодействие предприятий, связанных общим участием в производстве, продаже, потреблении единого конечного продукта: поставщиков материалов, изготовителей узлов и деталей, сборщиков конечного изделия, продавцов и потребителей конечного продукта. </w:t>
      </w:r>
      <w:proofErr w:type="spellStart"/>
      <w:r>
        <w:t>Райзберг</w:t>
      </w:r>
      <w:proofErr w:type="spellEnd"/>
      <w:r>
        <w:t xml:space="preserve"> Б.А., Лозовский Л.Ш., Стародубцева Е.Б. "Современный экономический словарь. - 6-е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М." (ИНФРА-М, 2011)</w:t>
      </w:r>
    </w:p>
    <w:p w:rsidR="006016BE" w:rsidRDefault="006016BE" w:rsidP="005F6FAC">
      <w:pPr>
        <w:pStyle w:val="FootnoteText"/>
      </w:pPr>
      <w:r>
        <w:t>*- по данным ФАС России.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59575"/>
      <w:docPartObj>
        <w:docPartGallery w:val="Page Numbers (Top of Page)"/>
        <w:docPartUnique/>
      </w:docPartObj>
    </w:sdtPr>
    <w:sdtEndPr/>
    <w:sdtContent>
      <w:p w:rsidR="006016BE" w:rsidRDefault="006016B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FCA">
          <w:rPr>
            <w:noProof/>
          </w:rPr>
          <w:t>22</w:t>
        </w:r>
        <w:r>
          <w:fldChar w:fldCharType="end"/>
        </w:r>
      </w:p>
    </w:sdtContent>
  </w:sdt>
  <w:p w:rsidR="006016BE" w:rsidRDefault="0060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DF5"/>
    <w:multiLevelType w:val="hybridMultilevel"/>
    <w:tmpl w:val="9FAC207A"/>
    <w:lvl w:ilvl="0" w:tplc="7DD24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406D2"/>
    <w:multiLevelType w:val="hybridMultilevel"/>
    <w:tmpl w:val="5B1C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06D3F"/>
    <w:multiLevelType w:val="hybridMultilevel"/>
    <w:tmpl w:val="D1D20E80"/>
    <w:lvl w:ilvl="0" w:tplc="CD969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A3"/>
    <w:multiLevelType w:val="hybridMultilevel"/>
    <w:tmpl w:val="CDA6FCBE"/>
    <w:lvl w:ilvl="0" w:tplc="F2EE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DC61BE"/>
    <w:multiLevelType w:val="hybridMultilevel"/>
    <w:tmpl w:val="19F88B08"/>
    <w:lvl w:ilvl="0" w:tplc="E754FE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656DD2"/>
    <w:multiLevelType w:val="hybridMultilevel"/>
    <w:tmpl w:val="1646CAC4"/>
    <w:lvl w:ilvl="0" w:tplc="29226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CC7504"/>
    <w:multiLevelType w:val="hybridMultilevel"/>
    <w:tmpl w:val="10028AC4"/>
    <w:lvl w:ilvl="0" w:tplc="A35C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116C13"/>
    <w:multiLevelType w:val="hybridMultilevel"/>
    <w:tmpl w:val="D1CC23B6"/>
    <w:lvl w:ilvl="0" w:tplc="B1BAA330">
      <w:start w:val="6"/>
      <w:numFmt w:val="bullet"/>
      <w:lvlText w:val="–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9C12800"/>
    <w:multiLevelType w:val="hybridMultilevel"/>
    <w:tmpl w:val="059C9150"/>
    <w:lvl w:ilvl="0" w:tplc="187A3E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C6"/>
    <w:rsid w:val="00001BB9"/>
    <w:rsid w:val="000259C3"/>
    <w:rsid w:val="000265A5"/>
    <w:rsid w:val="00027D1D"/>
    <w:rsid w:val="00032A47"/>
    <w:rsid w:val="00037A7D"/>
    <w:rsid w:val="00057D8B"/>
    <w:rsid w:val="00077943"/>
    <w:rsid w:val="000844A2"/>
    <w:rsid w:val="0009431B"/>
    <w:rsid w:val="000B037B"/>
    <w:rsid w:val="000B0AA7"/>
    <w:rsid w:val="000C54AC"/>
    <w:rsid w:val="000D7E06"/>
    <w:rsid w:val="000E0E67"/>
    <w:rsid w:val="000E701F"/>
    <w:rsid w:val="000F0479"/>
    <w:rsid w:val="000F16D4"/>
    <w:rsid w:val="000F69D8"/>
    <w:rsid w:val="00104E29"/>
    <w:rsid w:val="001064BF"/>
    <w:rsid w:val="00106F52"/>
    <w:rsid w:val="001168A1"/>
    <w:rsid w:val="00122A72"/>
    <w:rsid w:val="0012640A"/>
    <w:rsid w:val="001304FD"/>
    <w:rsid w:val="001373DF"/>
    <w:rsid w:val="00145012"/>
    <w:rsid w:val="00145826"/>
    <w:rsid w:val="001812C9"/>
    <w:rsid w:val="00193E03"/>
    <w:rsid w:val="001B0022"/>
    <w:rsid w:val="001C0381"/>
    <w:rsid w:val="001E0588"/>
    <w:rsid w:val="001F35DC"/>
    <w:rsid w:val="00220C27"/>
    <w:rsid w:val="002223EB"/>
    <w:rsid w:val="0024119C"/>
    <w:rsid w:val="00241FCA"/>
    <w:rsid w:val="00244BF7"/>
    <w:rsid w:val="002507D3"/>
    <w:rsid w:val="00254D20"/>
    <w:rsid w:val="00256011"/>
    <w:rsid w:val="002609F8"/>
    <w:rsid w:val="0026276F"/>
    <w:rsid w:val="00263C64"/>
    <w:rsid w:val="002901E9"/>
    <w:rsid w:val="002A189C"/>
    <w:rsid w:val="002A24C1"/>
    <w:rsid w:val="002A5463"/>
    <w:rsid w:val="002C15F5"/>
    <w:rsid w:val="002C1BEC"/>
    <w:rsid w:val="002F132C"/>
    <w:rsid w:val="002F77D9"/>
    <w:rsid w:val="002F7D71"/>
    <w:rsid w:val="0035064B"/>
    <w:rsid w:val="00361825"/>
    <w:rsid w:val="00381F6F"/>
    <w:rsid w:val="003927E4"/>
    <w:rsid w:val="00393A57"/>
    <w:rsid w:val="00393AE9"/>
    <w:rsid w:val="00396AF6"/>
    <w:rsid w:val="003B4877"/>
    <w:rsid w:val="003B6954"/>
    <w:rsid w:val="003C0AB8"/>
    <w:rsid w:val="003C53CA"/>
    <w:rsid w:val="003D1182"/>
    <w:rsid w:val="003D758D"/>
    <w:rsid w:val="003E1823"/>
    <w:rsid w:val="003E582A"/>
    <w:rsid w:val="003E66EC"/>
    <w:rsid w:val="003E703E"/>
    <w:rsid w:val="003E7E42"/>
    <w:rsid w:val="003F3A66"/>
    <w:rsid w:val="003F683B"/>
    <w:rsid w:val="004039D9"/>
    <w:rsid w:val="00403C02"/>
    <w:rsid w:val="0041057E"/>
    <w:rsid w:val="00413F8F"/>
    <w:rsid w:val="00421405"/>
    <w:rsid w:val="0043314B"/>
    <w:rsid w:val="004531DF"/>
    <w:rsid w:val="00461E15"/>
    <w:rsid w:val="0046253A"/>
    <w:rsid w:val="004634BC"/>
    <w:rsid w:val="00463D6F"/>
    <w:rsid w:val="00465FE9"/>
    <w:rsid w:val="00471C59"/>
    <w:rsid w:val="00474FAC"/>
    <w:rsid w:val="00477BB7"/>
    <w:rsid w:val="004A2270"/>
    <w:rsid w:val="004A2949"/>
    <w:rsid w:val="004D7862"/>
    <w:rsid w:val="00520632"/>
    <w:rsid w:val="00526F09"/>
    <w:rsid w:val="00533C36"/>
    <w:rsid w:val="00534EF7"/>
    <w:rsid w:val="00536B1E"/>
    <w:rsid w:val="005465FE"/>
    <w:rsid w:val="00547A0F"/>
    <w:rsid w:val="005510A6"/>
    <w:rsid w:val="00552DF2"/>
    <w:rsid w:val="00562D55"/>
    <w:rsid w:val="00570A74"/>
    <w:rsid w:val="0057189A"/>
    <w:rsid w:val="005824EB"/>
    <w:rsid w:val="00583C70"/>
    <w:rsid w:val="0058591C"/>
    <w:rsid w:val="00595F5C"/>
    <w:rsid w:val="005B7A19"/>
    <w:rsid w:val="005D1935"/>
    <w:rsid w:val="005D79AC"/>
    <w:rsid w:val="005E2C4A"/>
    <w:rsid w:val="005F28A1"/>
    <w:rsid w:val="005F6FAC"/>
    <w:rsid w:val="006016BE"/>
    <w:rsid w:val="0060688E"/>
    <w:rsid w:val="00613950"/>
    <w:rsid w:val="0062176F"/>
    <w:rsid w:val="00627507"/>
    <w:rsid w:val="00634005"/>
    <w:rsid w:val="00641014"/>
    <w:rsid w:val="00650114"/>
    <w:rsid w:val="00663878"/>
    <w:rsid w:val="00674809"/>
    <w:rsid w:val="00675544"/>
    <w:rsid w:val="00684E9A"/>
    <w:rsid w:val="006857E9"/>
    <w:rsid w:val="006939C7"/>
    <w:rsid w:val="0069666A"/>
    <w:rsid w:val="006A0C70"/>
    <w:rsid w:val="006A6A5F"/>
    <w:rsid w:val="006B0EC3"/>
    <w:rsid w:val="006B414D"/>
    <w:rsid w:val="006E11FF"/>
    <w:rsid w:val="006E236A"/>
    <w:rsid w:val="006E7F35"/>
    <w:rsid w:val="006F5FF3"/>
    <w:rsid w:val="00713031"/>
    <w:rsid w:val="00721086"/>
    <w:rsid w:val="00721EF1"/>
    <w:rsid w:val="007222DE"/>
    <w:rsid w:val="007265E8"/>
    <w:rsid w:val="00727703"/>
    <w:rsid w:val="00727E54"/>
    <w:rsid w:val="007372C4"/>
    <w:rsid w:val="007544C2"/>
    <w:rsid w:val="00762E3B"/>
    <w:rsid w:val="00763953"/>
    <w:rsid w:val="007659AB"/>
    <w:rsid w:val="0077635B"/>
    <w:rsid w:val="007831C3"/>
    <w:rsid w:val="007A2F57"/>
    <w:rsid w:val="007A436C"/>
    <w:rsid w:val="007A4A70"/>
    <w:rsid w:val="007B2A0F"/>
    <w:rsid w:val="007C0B85"/>
    <w:rsid w:val="007C3AFF"/>
    <w:rsid w:val="007D2EE4"/>
    <w:rsid w:val="007D38F4"/>
    <w:rsid w:val="007D4BCF"/>
    <w:rsid w:val="007D5712"/>
    <w:rsid w:val="007E5F63"/>
    <w:rsid w:val="007E6FFD"/>
    <w:rsid w:val="007F58FD"/>
    <w:rsid w:val="0080148C"/>
    <w:rsid w:val="00807B9A"/>
    <w:rsid w:val="008121E6"/>
    <w:rsid w:val="008202B1"/>
    <w:rsid w:val="0082075A"/>
    <w:rsid w:val="00831B05"/>
    <w:rsid w:val="0083333B"/>
    <w:rsid w:val="00842501"/>
    <w:rsid w:val="00847D3B"/>
    <w:rsid w:val="008548B5"/>
    <w:rsid w:val="00855959"/>
    <w:rsid w:val="0086180E"/>
    <w:rsid w:val="00863203"/>
    <w:rsid w:val="00872112"/>
    <w:rsid w:val="008742DD"/>
    <w:rsid w:val="00884FD3"/>
    <w:rsid w:val="00886C25"/>
    <w:rsid w:val="008B5E18"/>
    <w:rsid w:val="008D4E9D"/>
    <w:rsid w:val="008E03F2"/>
    <w:rsid w:val="008E0414"/>
    <w:rsid w:val="008E1BFA"/>
    <w:rsid w:val="008E2313"/>
    <w:rsid w:val="008F2DA9"/>
    <w:rsid w:val="008F44DC"/>
    <w:rsid w:val="008F6D27"/>
    <w:rsid w:val="00900737"/>
    <w:rsid w:val="00901ABB"/>
    <w:rsid w:val="009347CD"/>
    <w:rsid w:val="009375B4"/>
    <w:rsid w:val="0095646C"/>
    <w:rsid w:val="00957A5F"/>
    <w:rsid w:val="009823DA"/>
    <w:rsid w:val="0098374E"/>
    <w:rsid w:val="00994A91"/>
    <w:rsid w:val="009A599A"/>
    <w:rsid w:val="009B09F8"/>
    <w:rsid w:val="009B40A6"/>
    <w:rsid w:val="009C28FD"/>
    <w:rsid w:val="009C3A7A"/>
    <w:rsid w:val="009D0C23"/>
    <w:rsid w:val="009D2637"/>
    <w:rsid w:val="009D735D"/>
    <w:rsid w:val="009F1C52"/>
    <w:rsid w:val="009F6D14"/>
    <w:rsid w:val="00A02CF7"/>
    <w:rsid w:val="00A0324B"/>
    <w:rsid w:val="00A22FDF"/>
    <w:rsid w:val="00A24EBD"/>
    <w:rsid w:val="00A25AC7"/>
    <w:rsid w:val="00A27A48"/>
    <w:rsid w:val="00A31019"/>
    <w:rsid w:val="00A325F5"/>
    <w:rsid w:val="00A35CC1"/>
    <w:rsid w:val="00A40B78"/>
    <w:rsid w:val="00A45590"/>
    <w:rsid w:val="00A53981"/>
    <w:rsid w:val="00A574B6"/>
    <w:rsid w:val="00A70A59"/>
    <w:rsid w:val="00A76301"/>
    <w:rsid w:val="00A765A0"/>
    <w:rsid w:val="00A809A7"/>
    <w:rsid w:val="00A86EC5"/>
    <w:rsid w:val="00AA1D3E"/>
    <w:rsid w:val="00AA78BE"/>
    <w:rsid w:val="00AC50DB"/>
    <w:rsid w:val="00AC7569"/>
    <w:rsid w:val="00AD1BA2"/>
    <w:rsid w:val="00AE36D2"/>
    <w:rsid w:val="00AE6D8E"/>
    <w:rsid w:val="00B1577E"/>
    <w:rsid w:val="00B42286"/>
    <w:rsid w:val="00B517F0"/>
    <w:rsid w:val="00B571D2"/>
    <w:rsid w:val="00B6374E"/>
    <w:rsid w:val="00B640A2"/>
    <w:rsid w:val="00B75CAD"/>
    <w:rsid w:val="00B80261"/>
    <w:rsid w:val="00B8089A"/>
    <w:rsid w:val="00B85E63"/>
    <w:rsid w:val="00B875C2"/>
    <w:rsid w:val="00B92A58"/>
    <w:rsid w:val="00B92A6B"/>
    <w:rsid w:val="00BA30CD"/>
    <w:rsid w:val="00BA51FE"/>
    <w:rsid w:val="00BB4FF0"/>
    <w:rsid w:val="00BD0D2F"/>
    <w:rsid w:val="00BD301E"/>
    <w:rsid w:val="00BE23A1"/>
    <w:rsid w:val="00BE4C29"/>
    <w:rsid w:val="00BF3BA1"/>
    <w:rsid w:val="00BF7E42"/>
    <w:rsid w:val="00C00196"/>
    <w:rsid w:val="00C07A6F"/>
    <w:rsid w:val="00C115D3"/>
    <w:rsid w:val="00C363F8"/>
    <w:rsid w:val="00C4451F"/>
    <w:rsid w:val="00C56CA5"/>
    <w:rsid w:val="00C7500D"/>
    <w:rsid w:val="00C75231"/>
    <w:rsid w:val="00C944FC"/>
    <w:rsid w:val="00CA4176"/>
    <w:rsid w:val="00CA4545"/>
    <w:rsid w:val="00CA6DDA"/>
    <w:rsid w:val="00CB04D6"/>
    <w:rsid w:val="00CB17E2"/>
    <w:rsid w:val="00CC65D4"/>
    <w:rsid w:val="00CD0D49"/>
    <w:rsid w:val="00CD7AA3"/>
    <w:rsid w:val="00D11148"/>
    <w:rsid w:val="00D11634"/>
    <w:rsid w:val="00D12558"/>
    <w:rsid w:val="00D20325"/>
    <w:rsid w:val="00D262FE"/>
    <w:rsid w:val="00D40F04"/>
    <w:rsid w:val="00D521A6"/>
    <w:rsid w:val="00D60981"/>
    <w:rsid w:val="00D6217F"/>
    <w:rsid w:val="00D6219F"/>
    <w:rsid w:val="00D83B15"/>
    <w:rsid w:val="00D93325"/>
    <w:rsid w:val="00DA33A3"/>
    <w:rsid w:val="00DA4687"/>
    <w:rsid w:val="00DE1D86"/>
    <w:rsid w:val="00DF00BE"/>
    <w:rsid w:val="00E076C6"/>
    <w:rsid w:val="00E247A3"/>
    <w:rsid w:val="00E26883"/>
    <w:rsid w:val="00E438E2"/>
    <w:rsid w:val="00E454FE"/>
    <w:rsid w:val="00E656AE"/>
    <w:rsid w:val="00E7623A"/>
    <w:rsid w:val="00E826CF"/>
    <w:rsid w:val="00E83A1A"/>
    <w:rsid w:val="00E96A3B"/>
    <w:rsid w:val="00E96EB5"/>
    <w:rsid w:val="00EB7777"/>
    <w:rsid w:val="00EC2A87"/>
    <w:rsid w:val="00EF3D46"/>
    <w:rsid w:val="00F02007"/>
    <w:rsid w:val="00F067FE"/>
    <w:rsid w:val="00F11CC5"/>
    <w:rsid w:val="00F65897"/>
    <w:rsid w:val="00F66A4B"/>
    <w:rsid w:val="00F80EFB"/>
    <w:rsid w:val="00F83734"/>
    <w:rsid w:val="00F83DEA"/>
    <w:rsid w:val="00F90EBA"/>
    <w:rsid w:val="00FA2236"/>
    <w:rsid w:val="00FA7164"/>
    <w:rsid w:val="00FB4E7A"/>
    <w:rsid w:val="00FC0B9F"/>
    <w:rsid w:val="00FC1FAB"/>
    <w:rsid w:val="00FD5286"/>
    <w:rsid w:val="00FE46B9"/>
    <w:rsid w:val="00FF5C6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738A1-7A40-45B2-A4DC-39DA9D49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A7"/>
    <w:rPr>
      <w:vertAlign w:val="superscript"/>
    </w:rPr>
  </w:style>
  <w:style w:type="paragraph" w:customStyle="1" w:styleId="ConsPlusNormal">
    <w:name w:val="ConsPlusNormal"/>
    <w:uiPriority w:val="99"/>
    <w:rsid w:val="006A6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3C0AB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F5C"/>
  </w:style>
  <w:style w:type="paragraph" w:styleId="Footer">
    <w:name w:val="footer"/>
    <w:basedOn w:val="Normal"/>
    <w:link w:val="FooterChar"/>
    <w:uiPriority w:val="99"/>
    <w:unhideWhenUsed/>
    <w:rsid w:val="0059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F5C"/>
  </w:style>
  <w:style w:type="paragraph" w:styleId="BalloonText">
    <w:name w:val="Balloon Text"/>
    <w:basedOn w:val="Normal"/>
    <w:link w:val="BalloonTextChar"/>
    <w:uiPriority w:val="99"/>
    <w:semiHidden/>
    <w:unhideWhenUsed/>
    <w:rsid w:val="00C1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19C3-D921-4298-A663-A55B6AE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22</Pages>
  <Words>7418</Words>
  <Characters>42284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Шелдаев Дмитрий Владимирович</dc:creator>
  <cp:keywords/>
  <dc:description/>
  <cp:lastModifiedBy>Мягкова Анна Ивановна</cp:lastModifiedBy>
  <cp:revision>15</cp:revision>
  <cp:lastPrinted>2020-12-02T13:18:00Z</cp:lastPrinted>
  <dcterms:created xsi:type="dcterms:W3CDTF">2020-12-02T14:35:00Z</dcterms:created>
  <dcterms:modified xsi:type="dcterms:W3CDTF">2021-01-18T15:47:00Z</dcterms:modified>
</cp:coreProperties>
</file>