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на рынке изотопной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18:55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ОАО «Всерегиональное объединение Изотоп» (ОАО «В/О «Изотоп»)  по признакам нарушения части 1 статьи 10 Федерального закона «О защите конкуренции» в части установления и поддержания монопольно высокой цены товара и навязывания иных невыгодных условий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заявления ООО «Атом», ЗАО «Квант» и ЗАО «Мурманская геологоразведочная экспедиция», в которых сообщается, что в результате реструктуризации сбытовой политики предприятий, входящих в состав ГК «Росатом», произошло существенное увеличение стоимости закупаемой ими изотопной продукции, а также увеличились затраты на ее доставку.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действия ОАО «В/О «Изотоп» приводят к завышению торговых наценок на реализуемую изотопную продукцию, а также создают невыгодные условия по ее доставке.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13 апреля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Изотопная продукция широко применяется в различных отраслях промышленности и сельского хозяйства, в системах автоматизации технологических процессов, для целей неразрушающего контроля сварных швов, радиационного и дозиметрического контроля. Свободное обращение изотопной продукции на территории Российской Федерации  запрещено и регулируется Федеральным законом от 21 ноября 1995 года № 170-ФЗ «Об использовании атомной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