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Изменены правила допустимости соглашений между кредитными и страховыми организациями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декабря 2010, 17:03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декабря 2010 года Правительство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Постановлением № 968 
        </w:t>
        </w:r>
      </w:hyperlink>
      <w:r>
        <w:t xml:space="preserve">(далее - Постановление) внесло изменения в Общие исключения в отношении соглашений между кредитными и страховыми организациями, утвержденные постановлением Правительства Российской Федерации от 30 апреля 2009 г. № 386.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момента вступления в силу Постановления Общие исключения будут распространяться на взаимодействие банков и страховщиков в рамках реализации ипотечных программ.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Постановление содержит положения, направленные на создание условий для развития конкуренции на рынках банковских и страховых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недопущения затягивания банками процедуры проверки документов, которые страховая организация должна представить для ее проведения, в Постановлении предусмотрено требование о наличии у банка «закрытого» перечня сведений и документов, а также определен срок проведения проверки (не более 60 рабочих дней). Кроме того, ограничен срок для направления ответа страховой компании о ее соответствии или не соответствии требованиям банка (не более 10 рабочих дней с момента принятия такого решения).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Одновременно Постановление дополняет перечень недопустимых условий соглашения. Запрещено обязывать страховщика размещать денежные средства на депозитах и в ценные бумаги кредитной организации, поддерживать остатки средств на счетах и обороты средств по расчетным счетам в кредитной организации в определенном размере.</w:t>
      </w:r>
      <w:r>
        <w:br/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legislative-acts/legislative-acts_50655.html" TargetMode="External" Id="rId8"/>
  <Relationship Type="http://schemas.openxmlformats.org/officeDocument/2006/relationships/hyperlink" Target="http://twitter.com/rus_fas" TargetMode="External" Id="rId9"/>
  <Relationship Type="http://schemas.openxmlformats.org/officeDocument/2006/relationships/hyperlink" Target="http://www.facebook.com/pages/Moscow-Russia/FAS-book/106577446075490?v=wal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