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благодаря электронным аукционам возрастет общая конкурентоспособность экономики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2010, 20:08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«Переход на электронную форму заключения контрактов – это серьезный шаг в реформе государственного заказа», - отметил в ходе своего выступления начальник управления по контролю за размещением госзаказа ФАС России Михаил Евраев на II Всероссийской конференции: «Реформа госзаказа: электронные аукционы».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25-26 ноября 2010 года Центр развития конкурентной политики и государственного заказа Академии народного хозяйства при Правительстве Российской Федерации совместно с Федеральной антимонопольной службой проводит II Всероссийскую конференцию «Реформа госзаказа: Электронные аукционы».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 конференции – наладить полноценный диалог законодателей реформы госзаказа, государственных и муниципальных заказчиков и участников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приняли участие с одной стороны, поставщики товаров, работ и услуг для госнужд, с другой - законодатели и разработчики 94-ФЗ, представители Минэкономразвития, Минфина России, Федеральной антимонопольной службы, Федерального казначейства, руководители уполномоченных органов,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2010 году страна перешла на электронные аукционы, которые призваны сделать участие поставщиков в госзаказе более доступным и прозрачным.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выступления Михаил Евраев рассказал о наиболее сложных вопросах правоприменительной практики в сфере государственного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Михаил Евраев отметил: «Электронные аукционы завершаются контрактами в электронном виде. Это очень серьезный шаг - переход на электронную форму заключения контрактов».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это требует серьезной профессиональной перестройки работы как заказчиков, так и предпринимателей, а также контролирующих органов и судов.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«Электронные аукционы доказали на практике свою эффективность, - отмечает он. -  Средняя экономия бюджетных средств составила более 15%. В последние месяцы - более 20 %».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«Введение электронных аукционов потребует от компаний значительно повысить свою эффективность и конкурентоспособность, иначе им придется уйти с рынка», - добавил он. – Таким образом, возрастет общая конкурентоспособность экономики страны».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