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обязал ФТС России исполнить предписание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2010, 16:11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 года Арбитражный суд города Москвы признал незаконным бездействие Федеральной таможенной службы (ФТС России), выразившееся в неисполнении предписания Федеральной антимонопольной службы (ФАС России) о создании конкурентных условий осуществления деятельности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 апреля 2009 года ФАС России установила в действиях ФТС России факт нарушения пунктов 2 и 5 части 1 статьи 15 Федерального закона «О защите конкуренции», выразившегося в издании актов, которые привели к необоснованному препятствованию осуществлению деятельности ООО «Таможенная карта» в качестве координатора эмиссии таможенных карт; а также к установлению для банков-эмитентов таможенных карт, являющихся приобретателями услуг координатора эмиссии таможенных карт, ограничений выбора хозяйствующих субъектов, которые предоставляют (потенциально могут представлять) услуги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прекращения нарушения антимонопольного законодательства ФАС России предписала ФТС России отменить и изменить акты, нарушающие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пунктом 1.2 предписания установлена обязанность ФТС России внести в приказ ГТК России «О совершенствовании системы уплаты таможенных платежей» изменения, которые предусматривают создание конкурентных условий осуществления деятельности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2.2 предписания ФТС России необходимо было  представить на согласование в ФАС России проект приказа, содержащий указанные в пункте 1.2 предписания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данной частью предписания, Федеральная таможенная служба оспорила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2010 года федеральный арбитражный суд Московского округа подтвердил законность решения и предписания ФАС России. После вступления в силу решения суда кассационной инстанции ФТС России обязана была исполнить предписание ФАС России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же время Федеральная таможенная служба до настоящего времени данное предписание не исполнила и продолжает нарушать антимонопольное законодательство. ФАС России обратилась в арбитражный суд с заявлением о понуждении ФТС России к исполнению законного предписания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 года  арбитражный суд города Москвы обязал ФТС России исполнить предписание в десятидневный срок со дня вступления в силу решения арбитражного суда.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