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Арбитражный суд: Челябинское УФАС России правомерно признало ценовой сговор компаний, участвовавших в аукционе на установку защитных рольставней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сентября 2010, 17:52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сентября 2010 года Арбитражный суд Челябинской области подтвердил законность принятого 25 февраля 2010 года решения антимонопольного органа о признании согласованных действий для поддержания высокой цены на торгах в отношении ООО «СтройГазСервис», ООО «Оконная мануфактура», ООО «УралПроектМонтаж», ООО «Агрегат-М», ИП Новокшоновой и ООО «Формула».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Сотрудники Управления муниципального заказа Администрации г. Магнитогорска, проводившие открытый аукцион на право заключения муниципального контракта «Установка защитных рольставней в муниципальном образовательном учреждении для детей-сирот, оставшихся без попечения родителей «Детский дом № 1» г. Магнитогорска, были опрошены в судебном заседании в качестве свидетелей и подтвердили факт сговора.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статье 32 ФЗ «О размещении заказов» под аукционом на право заключить государственный или муниципальный контракт понимаются торги, победителем которых признается лицо, предложившее наиболее низкую цену государственного или муниципального контракта.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Необходимо отметить, что целью проведения подобных аукционов является обеспечение эффективного использования бюджетных средств и развитие добросовестной конкуренции. «Однако пассивное поведение компаний на аукционе и отсутствие какой-либо борьбы за право заключения контракта явились результатом того, что только два участника заявили свое согласие с ценой контракта при ее минимальном снижении на 0,5%,» - говорит руководитель Челябинского УФАС России Анна Козлова.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проведения расследования Челябинское УФАС России установило, что подача заявок на участие в аукционе свидетельствовала об осознанном намерении компаний заключить данный контракт. Более того, согласие с условиями контракта подтверждается тем, что каждый из участников в качестве обеспечения заявки внес 60 тысяч рублей и не отказался от участия в аукционе, отозвав свою заявку.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результате сговора компаний ООО «Формула» удалось заключить контракт по максимальной цене, снизив ее всего лишь на 12 тысяч рублей (с 1 200 000 рублей до 1 188 000 рублей).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Такое поведение участников дает основание полагать, что каждому из них было заранее известно о том, кто будет победителем. Результаты аукциона соответствовали интересам каждого из участников, поскольку согласно показаниям свителей победитель торгов должен был выплатить поровну всем компаниям «отступные».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пункту 2 части 1 статьи 11 Федерального закона «О защите конкуренции» запрещаются согласованные действия хозяйствующих субъектов, если такие действия приводят к поддержанию цен на торгах.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