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обратилась с просьбой в Правительство РФ не допустить создания барьеров для деятельности ломбардов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 года Федеральная антимонопольная служба направила письмо в Правительство Российской Федерации с просьбой поддержать позицию ФАС России о необходимости внесения Правительством Российской Федерации в Государственную Думу поправок к законопроекту № 355404 5 «О внесении изменения в статью 2 Федерального закона «О ломбардах».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ФАС России направила
        </w:t>
        </w:r>
      </w:hyperlink>
      <w:r>
        <w:t xml:space="preserve"> в Государственную Думу и Совет Федерации письма с просьбой исключить из законопроекта требования к минимальному размеру уставного капитала, а также требования к минимальному размеру площади, занимаемой ломбардом.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Письма направлены в связи с увеличением количества обращений хозяйствующих субъектов по вопросу внесения в Государственную Думу указанного законопроекта.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состоянию на 15 июня 2010 года в ФАС России поступили жалобы от 95 ломбардов из 33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Законопроект, в частности, предполагает установление требований к минимальному размеру уставного капитала для действующих ломбардов, а также требований к размеру занимаемой ими площади. </w:t>
      </w:r>
      <w:r>
        <w:br/>
      </w:r>
      <w:r>
        <w:br/>
      </w:r>
      <w:r>
        <w:t xml:space="preserve">
В случае принятия законопроекта в предложенной редакции деятельность в качестве ломбарда смогут осуществлять лишь хозяйствующие субъекты, занимающие площадь не менее 50 квадратных метров, уставный капитал которых составляет не менее 50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считает, что указанные требования не будут способствовать достижению заявленных в пояснительной записке к законопроекту целей, а именно: обеспечению присутствия в данном сегменте финансового рынка исключительно законопослушных, финансово устойчивых и социально ответственных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того, принятие законопроекта в предложенной редакции противоречит задаче государства по развитию институтов микрофинансирования и поддержке малого предпринимательства. Ломбарды выполняют важную социальную функцию, поскольку ввиду институциональной неразвитости субъектов финансовых рынков зачастую являются единственным источником финансовых ресурсов в регионе. Прекращение деятельности таких ломбардов будет сдерживать становление малого предпринимательства и затруднит борьбу с бедностью через самозанятость населения, а также ограничит возможности для социально-экономического развития таких регионов.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020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