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обозначил приоритеты в работе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Приоритетами на среднесрочный период работы антимонопольного органа являются:</w:t>
      </w:r>
      <w:r>
        <w:br/>
      </w:r>
      <w:r>
        <w:t xml:space="preserve">
- борьба с картелями;</w:t>
      </w:r>
      <w:r>
        <w:br/>
      </w:r>
      <w:r>
        <w:t xml:space="preserve">
- устранение административных барьеров для предпринимательской деятельности и внедрение ускоренных процедур административного обжалования.</w:t>
      </w:r>
      <w:r>
        <w:br/>
      </w:r>
      <w:r>
        <w:t xml:space="preserve">
По вопросу практики применения антимонопольного законодательства руководитель ФАС России заявил: «Мы должны уменьшить количество проверок бизнеса и свести к минимуму применение 10 статьи Федерального закона «О защите конкуренции» (злоупотребление доминирующим положением), направить все усилия на выявление картелей».</w:t>
      </w:r>
      <w:r>
        <w:br/>
      </w:r>
      <w:r>
        <w:t xml:space="preserve">
Также в ходе Коллегии ФАС России И.Артемьев рассказал собравшимся об итогах внедрения электронных аукционов в России. По его словам, всего за 4 года экономия бюджетных средств за счет внедрения аукционов и электронных аукционов составила 770 млрд.руб. При этом предполагаемая экономия при выходе на проектную мощность электронных аукционов может составить не менее 1 трлн. рублей ежегодно.</w:t>
      </w:r>
      <w:r>
        <w:br/>
      </w:r>
      <w:r>
        <w:t xml:space="preserve">
Как одно из перспективных направлений деятельности ведомства в области конкурентной политики Игорь Артемьев также выделил активизацию всех форм адвокатирования конкуренции.</w:t>
      </w:r>
      <w:r>
        <w:br/>
      </w:r>
      <w:r>
        <w:t xml:space="preserve">
«Обеспечение максимальной прозрачности способствует как более широкому пониманию важности конкурентной политики, так и повышению доверия общественности к деятельности конкурентного органа»,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