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рассмотрение дела в отношении ЗАО "Управляющая компания "Тройка Диалог"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2010, 12:16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 года Комиссия ФАС России по рассмотрению дела о нарушении антимонопольного законодательства признала действия ЗАО "Управляющая компания "Тройка Диалог" по доверительному управлению активами актом недобросовестной конкуренции, что нарушает пункт 2 части 1 статьи 14 Федерального закона "О защите конкуренции".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приняла решение о выдаче предписания об устранении ЗАО "Управляющая компания "Тройка Диалог" нарушений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размещении информации на официальном сайте ЗАО "Управляющая компания "Тройка Диалог", вводящей в заблуждение в отношении потребительских свойств оказания услуг доверительного управления активами.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Справочно. В состав Комиссии по рассмотрению дела о нарушении ЗАО "Управляющая компания "Тройка Диалог" антимонопольного законодательства, в соответствии с требованиями части 4 статьи 40 Закона о защите конкуренции и в соответствии с Приказом ФАС России от 02.03.2009 № 125 "О создании Координационной группы ФСФР России и ФАС России", включены представители ФСФР России на паритетной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br/>
      </w:r>
      <w:r>
        <w:rPr>
          <w:i/>
        </w:rPr>
        <w:t xml:space="preserve">
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статьи 14.33,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