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представил доклад "О состоянии конкуренции в Российской Федерации"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2009, 14:42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2009 года на заседании президиума Правительства Российской Федерации руководитель Федеральной антимонопольной службы (ФАС России) Игорь Артемьев представил доклад "О состоянии конкуренции в Российской Федерации в 2008 году", где осветил основные препятствия для развития конкуренции в отдельных секторах экономики и наметил основные приоритеты в работе службы.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Глава ФАС России проинформировал собравшихся о том, что всего за 2008 год было возбуждено 6540 дел о нарушении антимонопольного законодательства, среди них 2978 в отношении органов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Сумма подлежащих уплате штрафов в сфере деятельности службы за 2008 год составила порядка 13 млд.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Игорь Артемьев отметил, что негативное воздействие на состояние конкуренции оказывает привилегированное положение отдельных государственных корпораций и избирательная помощь отдельным участникам рынка за счет средств федерального бюджета.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Задачами антимонопольной политики в условиях кризиса являются: придание конкурентной политике регионального измерения; развитие конкуренции как инструмента повышения эффективности экономики; обеспечение соблюдения конкурентных принципов при проведении антикризисной политики, недопущение ущемления интересов общества и бизнеса в ходе реструктуризации и финансового оздоровления компаний; создание максимально благоприятных условий для появления и выхода на рынки новых высокоэффективных компаний, развитие системы информационной поддержки ведения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Среди основных задач стоящих перед ведомством в 2009 году Игорь Артемьев выделил реализацию законодательных инициатив Правительства Российской Федерации в сфере защиты конкуренции и реформирование законодательства о естественных монополиях.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Кроме того, по мнению ФАС России необходимыми первоочередными мерами для защиты конкуренции являются: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- развитие конкуренции в сфере образования, включая устранение избыточных процедур лицензирования и аккредитации образовательных учреждений, исключение передачи государственных функций государственным учреждениям и предприятиям, повышение прозрачности деятельности образовательных учреждений;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- сокращение количества государственных и муниципальных унитарных предприятий, особенно действующих на конкурентных рынках;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- развитие малого предпринимательства, в том числе сокращение административных барьеров, расширение доступа к государственному заказу, кредитным ресурсам, недвижимости и инженерной инфраструктуре;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- расширение применения биржевых механизмов ценообразования;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- развитие конкуренции на рынке финансовых услуг, в том числе расширение числа организаций, осуществляющих прием платежей от населения, сокращение практики одностороннего изменения тарифов банками на ведение счетов организаций и предпринимателей, установление минимальных стандартов страховой услуги.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