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"Наше дело" реализовывала пельмени под чужим товарным знаком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2009, 13:31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23 ноября 2009 года признала действия ООО "Наше дело" актом недобросовестной конкуренции и выдала  обязательное для исполнения предписания о прекращении недобросовестной конкуренции, обязав ООО "Наше дело" изменить дизайн упаковки пельменей "МЕДВЕЖЬЯ ЛОЖКА".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Недобросовестная конкуренция выразилась в реализации ООО "Наше дело" пельменей "МЕДВЕЖЬЯ ЛОЖКА" с использованием комбинированного изображения, сходного до степени смешения с товарными знаками по свидетельствам №№ 262986, 376885, принадлежащих ЗАО "ПОКОМ", что противоречит пункту 4 части 1 статьи 14 Федерального закона "О защите конкуренции".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Основанием для возбуждения дела послужило заявление ЗАО "АБИ Продакт", ЗАО "ПОКОМ-НЕДВИЖИМОСТЬ" и ЗАО "ПОКОМ" на антиконкурентные действия ООО "Наше дело", при реализации пельменей "МЕДВЕЖЬЯ ЛОЖКА".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ООО "Наше дело" зарегистрировало лицензионный договор в Роспатенте на использование товарного знака по свидетельству № 339349. Данный товарный знак состоит из словесного элемента "МЕДВЕЖЬЯ ЛОЖКА" и не содержит изобразительного элемента.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Однако ООО "Наше дело" при вводе пельменей "МЕДВЕЖЬЯ ЛОЖКА" в гражданский оборот на территории Российской Федерации использует упаковку, которая является сходной до степени смешения с товарными знаками по свидетельствам №№ 262986, 376885, принадлежащими ЗАО "ПОКОМ - НЕДВИЖИМОСТЬ" (указанными товарными знаками охраняется оформление дизайна упаковки пельменей МЕДВЕЖЬЕ УШКО).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Вместе с тем предоставленное право на использование словесного товарного знака "МЕДВЕЖЬЯ ЛОЖКА" по свидетельству № 339349 не дает права ООО "Наше дело" на использование чужих товарных знаков.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###Согласно пункту 4 части 1 статьи 14 Федерального закона "О защите конкуренции" не допускается недобросовестная конкуренция, связанная с продажей, обменом или иным введением в оборот товара, если при этом незаконно использовались результаты интеллектуальной деятельности и приравненные к ним средства индивидуализации продукции, работ, услуг.###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"Подобные недобросовестные действия компаний, работающих на одном  и том же товарном рынке, влекут наложение оборотного штрафа, так как негативные последствия указанных действий велики для конкурентов с экономической точки зрения",  - подчеркнул Андрей Кашеваров по итогам рассмотрения дела.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