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итогам заседания Экспертного совета ФАС России подготовит предложения по разрешению проблем в ИТ-отрасли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2009, 11:41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2009 года состоялось заседание экспертного совета при Федеральной антимонопольной службе (ФАС России) по развитию конкуренции в сфере информационных технологий. Целью заседания было выявление проблем, существующих в ИТ-сфере, и формирование предложений по их разрешению.</w:t>
      </w:r>
      <w:r>
        <w:br/>
      </w:r>
      <w:r>
        <w:t xml:space="preserve">
В рамках заседания обсуждались два блока вопросов. Первый из них был посвящен развитию ИТ-отрасли,  в частности, были представлены доклады по отечественному и зарубежному опыту взаимодействия государства и бизнес-структур в развитии ИТ-сферы, аспектах антимонопольного права в ИТ-сфере России и за рубежом, в т.ч. в Евросоюзе, формах и способах поддержки ИТ-отрасли.</w:t>
      </w:r>
      <w:r>
        <w:br/>
      </w:r>
      <w:r>
        <w:t xml:space="preserve">
Вторая часть заседания была посвящена аспектам деятельности в сети Интернет. Обсуждались вопросы государственного регулирования сети Интернет в Европе, ситуация на рынке доступа к сети Интернет в России, проблемы пиратства в сети Интернет.</w:t>
      </w:r>
      <w:r>
        <w:br/>
      </w:r>
      <w:r>
        <w:t xml:space="preserve">
Богатый российский и зарубежный опыт членов экспертного совета позволил обсудить вопросы с учетом многих аспектов. С докладами выступили представители НП "РУССОФТ", ЗАО "Консультант Плюс", ЗАО "Ай-Теко", ООО "Майкрософт Рус", ООО "Гугл", ЗАО "Интел", Международной юридической фирмы "Нёрр Штифенхофер Лутц" и представители ФАС России. В обсуждении приняли участие члены экспертного совета и приглашенные.</w:t>
      </w:r>
      <w:r>
        <w:br/>
      </w:r>
      <w:r>
        <w:t xml:space="preserve">
Меры поддержки ИT-сектора применяются во всем мире. Наибольшую актуальность они приобретают во время кризиса. К подобным мерам прибегали правительства США, стран ЕС, Китая, Австралии, Бразилии, Тайваня, Турции, Вьетнама и других. В первую очередь поддержка касалась таких направлений, как развитие широкополосного доступа, внедрение ИТ-технологий в сферу образования, предоставление госуслуг с использованием сети Интернет. </w:t>
      </w:r>
      <w:r>
        <w:br/>
      </w:r>
      <w:r>
        <w:t xml:space="preserve">
Страны G-20 в условиях кризиса инвестируют более 3,2 трлн. долларов США, при этом частью каждого правительственного плана должно быть увеличение инвестиций в широкополосный доступ в Интернет и в ИТ-сферу (это создает рабочие места, стимулирует спрос, способствует переходу к экономике знаний).</w:t>
      </w:r>
      <w:r>
        <w:br/>
      </w:r>
      <w:r>
        <w:t xml:space="preserve">
Правительственная поддержка ИТ-сектора в ряде стран привела к позитивным результатам в экономиках в целом. Так, в 1998 Тайвань инвестировал более 10 млрд. долларов в отрасль. Результатом этого стало развитие Тайваня, как признанного лидера ИТ-индустрии, глобального центра инноваций, создание рабочих мест с высокой добавленной стоимостью. </w:t>
      </w:r>
      <w:r>
        <w:br/>
      </w:r>
      <w:r>
        <w:t xml:space="preserve">
Меры государственной поддержки в Китае составили порядка 570 млрд. долл. (из них 30% в "умные железные дороги", 40 млрд.руб - в широкополосный доступ, меры налоговых льгот, выплат и компенсаций для приобретения современных персональных компьютеров населением и организациями). В  Австралии применяется система налоговых вычетов при покупке компьютеров малым и средним бизнесом, а также образовательными учреждениями. </w:t>
      </w:r>
      <w:r>
        <w:br/>
      </w:r>
      <w:r>
        <w:t xml:space="preserve">
Во Вьетнаме размер стимулирующего пакета составил порядка 1 млрд. долл. США, еще 24 млрд. анонсировано в качестве предстоящих мер. Для ИТ-продукции применяется сниженный НДС (5%) и отменены пошлины, применяется субсидирование процентных ставок по кредитам для приоритетных сфер деятельности с целью повышения конкурентоспособности, экономического роста и создания рабочих мест. </w:t>
      </w:r>
      <w:r>
        <w:br/>
      </w:r>
      <w:r>
        <w:t xml:space="preserve">
В США в феврале 2009 года принят специальный закон - American Recovery and Reinvestment Act, предусматривающий выделение 787 млрд. долл. США. Для стимулирования потребительского спроса и поддержки малого и среднего бизнеса применяются налоговые вычеты, ускоренная амортизация, на развитие одного широкополосного доступа предусмотрено от 6-9 млрд. долл., образование 70 млрд. долл., на энергетику "Smart Grid" 50 млрд. долл.</w:t>
      </w:r>
      <w:r>
        <w:br/>
      </w:r>
      <w:r>
        <w:t xml:space="preserve">
План ЕС по выходу из кризиса предусматривает 260 млрд. долл. США. Из них одна часть направлена на стимулирование спроса, а вторая "умные инвестиции" (в т.ч. образование, инфраструктуру и энергетику, разработки и инновации).</w:t>
      </w:r>
      <w:r>
        <w:br/>
      </w:r>
      <w:r>
        <w:t xml:space="preserve">
Эксперты отмечают, что поддержка этого направления во многих странах должна осуществляться и осуществляется первыми лицами. В России поддержка ИТ-индустрии оказывается на самом высоком уровне - Президентом РФ и Председателем Правительства РФ. Вопросы возникают в отношении конкретных форм и методов поддержки, а также в отношении соответствующих организаций и ведомств.</w:t>
      </w:r>
      <w:r>
        <w:br/>
      </w:r>
      <w:r>
        <w:t xml:space="preserve">
В целом прозвучавшие на экспертном совете предложения по содействию развитию ИТ-сферы совпадают с мировым опытом. Специфика касается отдельных сфер, где может быть обеспечена конкурентоспособность российских компаний и специалистов, например в области программирования. Выступавшие представители компаний обратили внимание на ряд проблем, связанных с неблагоприятными условиями деятельности. Так, в целом ряде случаев российским ИТ-компаниям в России создаются препятствия деятельности при поставке продукции на экспорт, и они вынуждены прибегать к созданию за пределами территории России юридических лиц для поставки продукции зарубежным странам, в том числе странам СНГ. Если в мире снижаются налоги, то были приведены примеры их повышения в России в ИТ-сферах.</w:t>
      </w:r>
      <w:r>
        <w:br/>
      </w:r>
      <w:r>
        <w:t xml:space="preserve">
Как отметил председатель совета - заместитель руководителя ФАС России Анатолий Голомолзин, фиксируется значительное количество нарушений антимонопольного законодательство, подтверждающее наличие подобного рода проблем. В мире оказываются самые разнообразные меры поддержки внедрения компьютеров, в том числе для населения, в России же программа "Компьютер в каждый дом" реализовывалась с нарушениями антимонопольного законодательства и в результате была прекращена как неэффективная. Имеют место неравные условия выделения компаниям радиочастотного спектра для осуществления деятельности в ИКТ сферах. Годами представители, как малого бизнеса, так и крупного бизнеса не могут получить частотных присвоений, а значит - не могут реализовать востребованных эффективных высокотехнологичных проектов. </w:t>
      </w:r>
      <w:r>
        <w:br/>
      </w:r>
      <w:r>
        <w:t xml:space="preserve">
Вопросы поддержки малого и среднего бизнеса, занятого в IT-отрасли, стали предметом отдельного обсуждения. А.Голомолзин напомнил участникам обсуждения, что уже сейчас осуществляются меры поддержки малого и среднего при размещении государственного заказа. Обсуждается проект закона об особенностях закупок для нужд государственных корпораций и для естественных монополий. В ФАС России считают, что закупки для нужд госкорпораций и естественных монополий также должны осуществляться с участием представителей малого и среднего бизнеса. А.Голомолзин также напомнил, что ведущие мировые корпорации оказывают поддержку малому бизнесу в своих странах. Подобную практику необходимо применять и крупным компаниям и в России.</w:t>
      </w:r>
      <w:r>
        <w:br/>
      </w:r>
      <w:r>
        <w:t xml:space="preserve">
Принято решение рассмотреть этот вопрос отдельно на одном из следующих заседаний экспертного совета с привлечением представителей других ведомств, в частности, Минэкономразвития РФ, а также организации ОПОРА России.</w:t>
      </w:r>
      <w:r>
        <w:br/>
      </w:r>
      <w:r>
        <w:t xml:space="preserve">
Обсуждая вопросы развития рынков ИТ-сферы, участники отметили, что нормы антимонопольного законодательства в полной мере распространяются на эту сферу деятельности. В этой части различий в российской и зарубежной практике не имеется. Вместе с тем, специфика данных рынков в значительной степени построена на обладании знаниями отдельных индивидуумов или компаний. Обращение такой специфической продукции требует специальных методов защиты. </w:t>
      </w:r>
      <w:r>
        <w:br/>
      </w:r>
      <w:r>
        <w:t xml:space="preserve">
Серьезной проблемой в связи с этим является тема пиратства в сети. Обсуждались вопросы применения уголовных норм правоохранительными органами и практика ФАС России в части пресечения фактов недобросовестной конкуренции.</w:t>
      </w:r>
      <w:r>
        <w:br/>
      </w:r>
      <w:r>
        <w:t xml:space="preserve">
Обсуждались вопросы участия государства в развитии сети Интернет. Были затронуты особенности госрегулирования. Так, опыт стран ЕС говорит о необходимости минимального воздействия государства в части контента, где преимущество должно быть отдано мерам рекомендательного характера. В то же время значительное внимание уделяется вопросам доступа в Интернет. Эта услуга рассматривается в контексте всеобщее право населения на информацию, поэтому во многих странах она относится к универсальным (общедоступным) услугам. В России к универсальным услугам отнесен лишь коллективный доступ в Интернет, но в целом в части доступа в Интернет существует достаточное количество проблем.</w:t>
      </w:r>
      <w:r>
        <w:br/>
      </w:r>
      <w:r>
        <w:t xml:space="preserve">
Представитель ФАС России - заместитель начальника управления транспорта и cвязи Дмитрий Рутенберг представил доклад о ситуации на рынке услуг доступа в Интернет. В докладе дана оценка общей ситуации, проблемам цифрового неравенства регионов, дифференциации цен. Применение антимонопольных норм позволило снизить цены на эти услуги, в отдельных случаях до 10 раз. Также Д.Рутенберг сообщил о том, что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приступила к расследованию на рынке магистрального трафика передачи данных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ws/n_28187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