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выдала предупреждение крупнейшему оператору космических пусков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июля 2017, 14:34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Космический научно-производственный центр им. М.В. Хруничева подозревается в создании условий неравного доступа на рынок коммерческих услуг по космическим запускам с использованием ракеты-носителя «Протон-М».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ФАС России поступило заявление Консорциума «Космические технологии» о нарушении антимонопольного законодательства, который обратился в адрес ФГУП «ГКНПЦ им. М.В. Хруничева» за оказанием услуги по доставке грузов на орбиту с использованием ракеты-носителя тяжелого класса.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Предприятие ответило, что все дальнейшие предложения сотрудничества в части оказания пусковых услуг необходимо направлять в адрес ILS International Launch Services Inc. (США).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установила ФАС России, ФГУП «ГКНПЦ им. М.В. Хруничева» оказывает услуги по доставке грузов на орбиту либо напрямую, либо через посредника - ILS International Launch Services Inc. При этом услуга, оказываемая через посредника, обходится потребителям значительно дороже. Таким образом, для разных контрагентов космического научно-производственного центра были установлены различные фактические условия сотрудничества.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настоящее время возможность коммерческих запусков с использованием ракет-носителей тяжелого класса существует исключительно посредством РН «Протон-М». Единственным хозяйствующим субъектом, предоставляющим коммерческие услуги по запускам космических аппаратов с использованием РН «Протон-М», является Космический научно-производственный центр им. М.В. Хруничева.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Эти обстоятельства явились основанием для выдачи ФАС России предупреждения космическому научно-производственному центру о необходимости прекращения действий, выразившихся в создании дискриминационных условий для Консорциума «Космические технологии», путем направления опровержения на свой ответ с сообщением о возможности оказания пусковых услуг для российских хозяйствующих субъектов, исключая посредников.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Сложившуюся ситуацию прокомментировал начальник Управления контроля авиационной, ракетно-космической и атомной промышленности ФАС России Дмитрий Брыкин: </w:t>
      </w:r>
      <w:r>
        <w:rPr>
          <w:i/>
        </w:rPr>
        <w:t xml:space="preserve">«Несмотря на существующие мировые тенденции по развитию технологий запуска грузов на орбиту и появление новых игроков, этот рынок по-прежнему не является конкурентным, что дает возможность его участникам диктовать свои правила игры. Любые проявления злоупотреблений со стороны лиц, занимающих доминирующее положение, будут пресекаться нами незамедлительно»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