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Понятные правила игры – залог инвестиций в экономику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2017, 11:15</w:t>
      </w:r>
    </w:p>
    <w:r xmlns:w="http://schemas.openxmlformats.org/wordprocessingml/2006/main">
      <w:t xml:space="preserve">Замглавы ФАС России рассказал о контроле за осуществлением иностранных инвестиций и тарифном регулировании в России, как необходимых мерах экономического развития</w:t>
    </w:r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– заместитель руководителя антимонопольного ведомства Андрей Цариковский выступил на сессии «Российская юрисдикция — фактор притяжения инвестиций» в ходе Петербургского международного экономического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сессии также приняли участие Генеральный прокурор РФ Юрий Чайка, уполномоченный при Президенте России по правам предпринимателей, сопредседатель “Деловой России” Борис Титов, Председатель Комитета Государственной Думы ФС РФ по государственному строительству и законодательству Павел Крашенинников и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обсуждались юридическая защита иностранных инвестиций в России, снижение административного давления на бизнес и меры по улучшению правовой среды в России в целом.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Модератор сессии, руководитель уголовно-правовой практики Адвокатского бюро “Егоров, Пугинский, Афанасьев и партнёры” Виктория Бурковская напомнила о международном признании развитости российских институтов защиты конкуренции. Андрей Цариковский подчеркнул: </w:t>
      </w:r>
      <w:r>
        <w:rPr>
          <w:i/>
        </w:rPr>
        <w:t xml:space="preserve">“Только тогда, когда развита защита конкуренции, есть смысл в инвестировании”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своём выступлении Борис Титов, в том числе, обозначил проблему нарушений в тарифах естественных монополий. По его словам, реальные тарифы значительно отличаются от справедливых.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подтвердил существование этой проблемы: </w:t>
      </w:r>
      <w:r>
        <w:rPr>
          <w:i/>
        </w:rPr>
        <w:t xml:space="preserve">“Мы видим, что одни и те же тарифы в разных регионах могут различаться в десятки раз”</w:t>
      </w:r>
      <w:r>
        <w:t xml:space="preserve">. Он напомнил, что в настоящее время ФАС России разрабатывает Закон о тарифах, который унифицирует тарифное законодательство. Концепция документа уже направлена федеральным органам власти и бизнес-сообществам для сбора предложений.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