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Органы исполнительной власти Самарской области и группа ПАО «Газпром» реализовали соглашение, ограничивающее конкуренцию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мая 2017, 11:20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Реализация соглашения заключалась в утверждении Программы развития газоснабжения и газификации Самарской области на 2016-2020 годы, учитывая исключительные интересы хозяйствующих субъектов, входящих в группу лиц ПАО «Газпром».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мая 2017 года ФАС России признала Губернатора Самарской области, Министерства энергетики и ЖКХ Самарской области, группу ПАО «Газпром», ООО «Газпром межрегионгаз» нарушившими часть 4 статьи 16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Органами исполнительной власти всячески оказывалось содействие в реализации программы: объекты группы лиц ПАО «Газпром» включены в качестве объектов регионального значения, земельные участки под строительство этих объектов выдаются в приоритетном порядке. При этом, органы исполнительной власти Самарской области на совещании давали поручения по исключению объектов газораспределения иных организаций, строительство которых планировалось вблизи объектов группы лиц ПАО «Газпром».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Соглашение между органами исполнительной власти и ПАО «Газпром» предусматривало строительство дублирующих объектов газоснабжения к уже подключенным абонентам, т.е. перевод абонентов от «независимых» газораспределительных организаций к газораспределительным организациям, входящим в группу лиц ПАО «Газпром» (например, ТЭЦ ВАЗа).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Строительство дублирующего источника газоснабжения для ТЭЦ ВАЗа может привести к устранению с рынка газоснабжения ООО «СВГК», к сетям которого в настоящее время подключен ТЭЦ ВАЗа.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«Реализация Программы газификации субъекта РФ исключительно в интересах одной газораспределительной организации приводит к неэффективному использованию уже существующей инфраструктуры и может негативно сказаться на конкуренции, в том числе путем роста цен на оказание газовыми компаниями своих услуг», - сообщил начальник Управления регулирования топливно-энергетического комплекса ФАС России Дмитрий Махонин.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