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Нефть марки URALS будет котироваться на уровне других марок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2017, 11:14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5 октября 2017 года заместитель руководителя ФАС России Анатолий Голомолзин принял участие в форуме «Российская энергетическая неделя 2017»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форума состоялся круглый стол «Развивая биржевую торговлю российской нефтью» на котором обсудили перспективы развития биржевой торговли нефтью марки URALS и формирование новых ценовых эталонов на основе объемов производства и качества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Анатолий Голомолзин отметил важность формирования представительных котировок наличного товара, в том числе нефти, и на их основе – котировок производных инструментов на рынке. «Котировки, которые сейчас применяются в торговле на национальных и мировых рынках, вызывают вопросы у зарубежных антимонопольных органов и финансовых регуляторов. Россия в этом вопросе использует лучшее законодательство и лучшую практику для решения этого вопроса», - сообщил замглавы ФАС.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«Сформированы 3 индикатора цен: биржевые котировки, внебиржевые котировки и индикаторы цен сопоставимых рынков. Эти индикаторы надежны, прозрачны и отражают реальную практику торговли. По этому же пути мы идем в создании бенчмарка на рынке нефти», - отметил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по формированию бенчмарка на российскую экспортную нефть (в настоящее время URALS, в перспективе – ВСТО) поддерживается на самом высоком уровне и осуществляется в соответствии с решением президентской комиссии по ТЭК. В рамках СНГ эта работа одобрена на уровне Совета глав Правительств. В ЕАЭС решением глав государств одобрена концепция общего рынка нефти и нефтепродуктов, на завершающем этапе находится подготовка Программы по созданию этого рынка. Планируется подписание соглашения между СПбМТСб и Шанхайской нефтегазовой биржей.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</w:t>
      </w:r>
      <w:r>
        <w:rPr>
          <w:i/>
        </w:rPr>
        <w:t xml:space="preserve">Мы развиваемся в этом направлении и динамика, которую мы имеем, позволяет нам рассчитывать на успех проекта. Скоро мы сформируем реальные индикаторы цен на этом рынке, и нефть марки </w:t>
      </w:r>
      <w:r>
        <w:rPr>
          <w:i/>
        </w:rPr>
        <w:t xml:space="preserve">URALS</w:t>
      </w:r>
      <w:r>
        <w:rPr>
          <w:i/>
        </w:rPr>
        <w:t xml:space="preserve"> будет общепризнанным эталонным индикатором наряду с другими марками</w:t>
      </w:r>
      <w:r>
        <w:t xml:space="preserve">», – подвел итог своего выступления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Фото предоставлено Фондом "Росконгресс"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