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возможность подать жалобу в ФАС зачастую становится единственным способом защиты своих прав для субъектов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2017, 11:41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представил доклад о механизмах, способствующих развитию добросовестной конкуренции среди субъектов МСП на закупках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Сегодня, рассматривая жалобы субъектов МСП на закупки по 223-ФЗ, мы видим, что основные проблемы на закупках связаны с отсутствием надлежащего регулирования в этой сфере, отсутствием единых процедурных норм, отсутствием унификации, что негативно сказывается на доступности участия субъектов МСП в закупках госкомпаний», </w:t>
      </w:r>
      <w:r>
        <w:t xml:space="preserve">- сообщил заместитель руководителя ФАС России Рачик Петросян в ходе совместной конференции АО «Корпорация «МСП» и медиагруппы «Актион-МЦФЭР» по вопросам совершенствования механизмов доступа субъектов малого и среднего предпринимательства к закупкам крупнейших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замглавы ФАС России, субъекты МСП наиболее чувствительны к этим барьерам, т.к. у них нет возможности содержать и оплачивать услуги юридических служб. Так, возможность подать жалобу в ФАС, зачастую становится единственным доступным способом защиты своих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«Принятие законопроекта, который в настоящее время находится в Государственной Думе, упростит доступ субъектов МСП к закупкам, за счёт унификации процедуры закупок и перевода их в электронной форму на общероссийские электронные площадки, функционирующие по 44-ФЗ</w:t>
      </w:r>
      <w:r>
        <w:t xml:space="preserve">»,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отметил, что в настоящий момент ФАС России совместно с Корпорацией МСП обсуждают возможность увеличения доли прямых закупок с субъектами МСП, которые зарекомендовали себя лучше, чем закупки у субъектов СМП в качестве субподрядчиков.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время, согласно Постановлению Правительства РФ, годовой объем закупок отдельных категорий заказчиков у МСП должен составлять не менее 18% от совокупной годовой стоимости договоров. При этом общая стоимость договоров, заключенных по результатам закупок, участниками которых могут быть только МСП, должна составлять не менее 10% от совокупного годового объема. </w:t>
      </w:r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