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Картели перенимают все лучшее, что есть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08:53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«Все нововведения, актуальные тенденции и современные технологии немедленно перенимаются создателями картелей»</w:t>
      </w:r>
      <w:r>
        <w:t xml:space="preserve">,- рассказал статс-секретарь — заместитель руководителя ФАС России Андрей Цариковский в ходе Международной практической конференции Евразийский форум по картелям, которая прошла 24 ноября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отметил основные тенденции развития современных картелей — глобализация и цифровизация. </w:t>
      </w:r>
      <w:r>
        <w:rPr>
          <w:i/>
        </w:rPr>
        <w:t xml:space="preserve">«Картель потерял свои границы, там уже наступил полный «шенген», и единственным лекарством от глобализированного картеля может стать только одно — совместная работа всех конкурентных ведомств стран мира»</w:t>
      </w:r>
      <w:r>
        <w:t xml:space="preserve">,- подчеркнул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