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повышает информированность предпринимателей о праве на ускоренное рассмотрение жалоб по стройке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2017, 15:22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Общественные и некоммерческие организации, профессиональные ассоциации расскажут предпринимателям о порядке обращения в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направила членам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
        </w:t>
        </w:r>
      </w:hyperlink>
      <w:r>
        <w:t xml:space="preserve"> по развитию конкуренции в строительной отрасли для информирования предпринимателей и размещения на их официальных сайтах подробную информацию о порядке обжалования актов и действий органов власти в сфере строительства и сетевых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с 2016 года такие жалобы рассматриваются антимонопольным органом по так называемой короткой процедуре в течение 7 - 14 рабочих дней, предусмотренной ст. 18.1 Закона о защите конкуренции.</w:t>
      </w:r>
      <w:r>
        <w:br/>
      </w:r>
      <w:r>
        <w:t xml:space="preserve">
Ускоренному рассмотрению в этом случае подлежат жалобы на те процедуры в сфере строительства, которые предусмотрены утвержденными Правительством РФ исчерпывающими перечнями. Они закрепляют функции, которые должны выполнять в сфере строительства органы власти, и услуги, которые должны оказывать сетевые организации. И если в 2016 году такой перечень был установлен только для сферы жилищного строительства, то в 2017 году перечни появились в сферах строительства объектов водо- и электроснабжения, нежилых объектов и теплосетей.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обжаловать действия органа власти по короткой процедуре на сегодняшний день можно лишь по двум основаниям: если он нарушил срок осуществления процедур из соответствующего перечня либо предъявил требование осуществить процедуру, не предусмотренную перечнем. В то время как количество предусмотренных законом нарушений сетевых организаций, на которые ФАС России может оперативно реагировать, больше.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Для того, чтобы механизм административного обжалования заработал в полной мере, необходимо, во-первых, расширить перечень нарушений со стороны органов власти в сфере строительства, которые можно обжаловать в ФАС по ускоренной процедуре. Соответствующие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поправки
        </w:t>
        </w:r>
      </w:hyperlink>
      <w:r>
        <w:rPr>
          <w:i/>
        </w:rPr>
        <w:t xml:space="preserve"> в закон подготовлены нами и уже согласованы Минстроем. Во-вторых, необходимо добиться большей информированности хозяйствующих субъектов о новом механизме. Именно в этих целях мы и направили письма членам Экспертного совета</w:t>
      </w:r>
      <w:r>
        <w:t xml:space="preserve">», - поясняет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326" TargetMode="External" Id="rId8"/>
  <Relationship Type="http://schemas.openxmlformats.org/officeDocument/2006/relationships/hyperlink" Target="https://fas.gov.ru/news/234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