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виновного за нарушения на конкурсе по установке рекламных конструкций в Санкт-Петербурге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2017, 11:30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 должностное лицо Комитета по печати и взаимодействию со СМИ наложено два штрафа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Напомним
        </w:t>
        </w:r>
      </w:hyperlink>
      <w:r>
        <w:t xml:space="preserve">, в июле этого года Комитет по печати и взаимодействию со СМИ проводил конкурс на установку и эксплуатацию в Санкт-Петербурге более девяти тысяч рекламных конструкций.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установила, что порядок оценки и сопоставления заявок на участие в конкурсе был составлен ненадлежащим образом.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 именно, по двум из критериев были установлены максимальные предельные значения, что лишало участников стимула конкурировать на торгах и предлагать более выгодные условия исполнения контракта, так как они не будут оценены организатором торгов должным образом.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Остальные критерии содержали в себе неопределенные формулировки и неадминистрируемые требования к составу заявок. Это, по мнению антимонопольного органа, не позволило участникам подготовить заявки на участие в конкурсе, максимально соответствующие требованиям организатора торгов.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признала Комитет по печати и взаимодействию со СМИ нарушившим ч. 3 ст. 17 Закона о защите конкуренции и предписала нарушителю внести изменения в конкурсную документацию и продлить срок рассмотрения заявок.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Между тем, Комитет полностью проигнорировал предписание антимонопольного органа, продолжил конкурс и незаконно заключил впоследствии договоры.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неисполнением предписания и нарушением при составлении конкурсной документации антимонопольный орган возбудил в отношении должностного лица Комитета по печати и взаимодействию со СМИ два дела об административных правонарушениях по ч. 2.6 ст. 19.5 КоАП РФ и ч. 10 ст. 7.32.4 КоАП РФ. 30 ноября 2017 года ФАС приняла решение о назначении должностному лицу двух штрафов.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По этому делу в ФАС поступило 27 обращений с просьбой вмешаться и обязать организатора торгов устранить нарушения путем внесения изменений в конкурсную документацию. Неисполнение нашего предписания в данном случае – это, прежде всего, нарушение прав потенциальных участников конкурса, которые намеревались подать заявки на участие в нем после устранения организатором торгов всех нарушений</w:t>
      </w:r>
      <w:r>
        <w:t xml:space="preserve">», - пояснил заместитель руководителя 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137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