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Стандарт развития конкуренции как действующий инструмент поддержки некоммерческих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2017,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определяет рынки, в числе которых важнейшие социально-значимые сферы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декабря начальник Контрольно-финансового управления ФАС России Владимир Мишеловин принял участие в работе </w:t>
      </w:r>
      <w:r>
        <w:t xml:space="preserve">VIII</w:t>
      </w:r>
      <w:r>
        <w:t xml:space="preserve">Съезда некоммерческих организаций России. В ходе дискуссии о механизмах и формах поддержки некоммерческих организаций федеральными и региональными органами власти Владимир Мишеловин обратил внимание делегатов съезда на действующий инструмент – Стандарт развития конкуренции в субъектах РФ.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представителя антимонопольного ведомства, Стандартом определены социально-значимые рынки, по которым утверждены цифровые показатели, дорожные карты, контролируются результаты. Это касается наиболее важных сфер – дошкольного образования, медицинских услуг, дополнительного образования детей, детского отдыха и оздоровления, психолого-педагогического сопровождения детей с ограниченными возможностями здоровья, сферы культуры и социального обслуживания населения. </w:t>
      </w:r>
      <w:r>
        <w:rPr>
          <w:i/>
        </w:rPr>
        <w:t xml:space="preserve">«Во многих субъектах Российской Федерации существуют серьезные программы поддержки частного бизнеса в этих сферах. Сегодня Министерство экономического развития возглавляет работу по определению лучших практик внедрения Стандарта. И мы надеемся, что в начале следующего года они будут опубликованы»,</w:t>
      </w:r>
      <w:r>
        <w:t xml:space="preserve"> – отметил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 Съезда – Общенациональный союз некоммерческих организаций. Традиционно мероприятие проходит при участии представителей руководства федеральных и региональных органов власти и некоммерческих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