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подготовила разъяснение закона «О рекламе»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декабря 2017, 14:30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разграничивает понятия рекламных конструкций и конструкций, носящих информационный характер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выработки единообразного подхода к применению положений Федерального закона «О рекламе» ФАС России подготовила разъяснения, касающиеся вопросов разграничения понятий рекламных конструкций и конструкций, носящих информационный характер.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разъяснения основаны на правоприменительной практике антимонопольных органов, а также судебной практике по вопросам применения положений статьи 19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в документе поясняется, что информация, обязательная к размещению в силу закона или обычая делового оборота, не является рекламой, как и название организации, ее режима работы и профиль деятельности в месте нахождения такой организации.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не признаются рекламой информационно-справочные сведения, аналитические материалы, результаты научных исследований и испытаний, информация о продукции и услугах в меню и прейскурантах.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надеемся, что эти разъяснения помогут территориальным органам ФАС и участникам рынка более четко разграничивать рекламу и нерекламную информацию», – отметила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Ознакомиться с документом можно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0255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